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8F7C67" w14:textId="77777777" w:rsidR="00BE2350" w:rsidRPr="00D3751E" w:rsidRDefault="00BE2350" w:rsidP="00BE2350">
      <w:pPr>
        <w:spacing w:line="345" w:lineRule="atLeast"/>
        <w:jc w:val="both"/>
        <w:rPr>
          <w:rFonts w:ascii="Trebuchet MS" w:hAnsi="Trebuchet MS" w:cs="Arial"/>
          <w:b/>
          <w:bCs/>
          <w:sz w:val="20"/>
          <w:lang w:val="pt-PT"/>
        </w:rPr>
      </w:pPr>
    </w:p>
    <w:p w14:paraId="16A4454D" w14:textId="77777777" w:rsidR="00BE2350" w:rsidRPr="00D3751E" w:rsidRDefault="00BE2350" w:rsidP="00BE2350">
      <w:pPr>
        <w:spacing w:line="345" w:lineRule="atLeast"/>
        <w:jc w:val="center"/>
        <w:rPr>
          <w:rFonts w:ascii="Trebuchet MS" w:hAnsi="Trebuchet MS" w:cs="Arial"/>
          <w:b/>
          <w:bCs/>
          <w:sz w:val="20"/>
          <w:lang w:val="pt-PT"/>
        </w:rPr>
      </w:pPr>
      <w:r w:rsidRPr="00D3751E">
        <w:rPr>
          <w:rFonts w:ascii="Trebuchet MS" w:hAnsi="Trebuchet MS" w:cs="Arial"/>
          <w:b/>
          <w:bCs/>
          <w:sz w:val="20"/>
          <w:lang w:val="pt-PT"/>
        </w:rPr>
        <w:t>CONTRACT DE FINANȚARE</w:t>
      </w:r>
    </w:p>
    <w:p w14:paraId="15751CFC" w14:textId="77777777" w:rsidR="00BE2350" w:rsidRPr="00D3751E" w:rsidRDefault="00BE2350" w:rsidP="00BE2350">
      <w:pPr>
        <w:spacing w:line="345" w:lineRule="atLeast"/>
        <w:jc w:val="center"/>
        <w:rPr>
          <w:rFonts w:ascii="Trebuchet MS" w:hAnsi="Trebuchet MS" w:cs="Arial"/>
          <w:b/>
          <w:bCs/>
          <w:sz w:val="20"/>
          <w:lang w:val="pt-PT"/>
        </w:rPr>
      </w:pPr>
    </w:p>
    <w:p w14:paraId="48E5BAB3" w14:textId="77777777" w:rsidR="00BE2350" w:rsidRPr="00D3751E" w:rsidRDefault="00BE2350" w:rsidP="00BE2350">
      <w:pPr>
        <w:spacing w:line="345" w:lineRule="atLeast"/>
        <w:jc w:val="center"/>
        <w:rPr>
          <w:rFonts w:ascii="Trebuchet MS" w:hAnsi="Trebuchet MS" w:cs="Arial"/>
          <w:b/>
          <w:bCs/>
          <w:sz w:val="20"/>
          <w:lang w:val="pt-PT"/>
        </w:rPr>
      </w:pPr>
    </w:p>
    <w:p w14:paraId="303845FC" w14:textId="77777777" w:rsidR="00BE2350" w:rsidRPr="00D3751E" w:rsidRDefault="00BE2350" w:rsidP="00BE2350">
      <w:pPr>
        <w:pStyle w:val="al"/>
        <w:spacing w:line="345" w:lineRule="atLeast"/>
        <w:rPr>
          <w:rFonts w:ascii="Trebuchet MS" w:hAnsi="Trebuchet MS" w:cs="Arial"/>
          <w:b/>
          <w:bCs/>
          <w:sz w:val="20"/>
          <w:szCs w:val="20"/>
          <w:lang w:val="pt-PT"/>
        </w:rPr>
      </w:pPr>
      <w:r w:rsidRPr="00D3751E">
        <w:rPr>
          <w:rFonts w:ascii="Trebuchet MS" w:hAnsi="Trebuchet MS" w:cs="Arial"/>
          <w:b/>
          <w:bCs/>
          <w:sz w:val="20"/>
          <w:szCs w:val="20"/>
          <w:lang w:val="pt-PT"/>
        </w:rPr>
        <w:t>I. Părţile</w:t>
      </w:r>
    </w:p>
    <w:p w14:paraId="72C479C4" w14:textId="77777777" w:rsidR="00D3751E" w:rsidRPr="00D3751E" w:rsidRDefault="00D3751E" w:rsidP="00BE2350">
      <w:pPr>
        <w:pStyle w:val="al"/>
        <w:spacing w:line="345" w:lineRule="atLeast"/>
        <w:rPr>
          <w:rFonts w:ascii="Trebuchet MS" w:hAnsi="Trebuchet MS" w:cs="Arial"/>
          <w:b/>
          <w:bCs/>
          <w:sz w:val="20"/>
          <w:szCs w:val="20"/>
          <w:lang w:val="pt-PT"/>
        </w:rPr>
      </w:pPr>
    </w:p>
    <w:p w14:paraId="79E1B008" w14:textId="31D0D912" w:rsidR="00BE2350" w:rsidRPr="00D3751E" w:rsidRDefault="00BE2350" w:rsidP="00BE2350">
      <w:pPr>
        <w:spacing w:line="360" w:lineRule="auto"/>
        <w:jc w:val="both"/>
        <w:rPr>
          <w:rFonts w:ascii="Trebuchet MS" w:hAnsi="Trebuchet MS" w:cs="Trebuchet MS"/>
          <w:b/>
          <w:bCs/>
          <w:sz w:val="20"/>
          <w:lang w:val="ro-RO"/>
        </w:rPr>
      </w:pPr>
      <w:r w:rsidRPr="00D3751E">
        <w:rPr>
          <w:rFonts w:ascii="Trebuchet MS" w:hAnsi="Trebuchet MS" w:cs="Trebuchet MS"/>
          <w:b/>
          <w:bCs/>
          <w:sz w:val="20"/>
          <w:lang w:val="ro-RO"/>
        </w:rPr>
        <w:t>AM_PRSM_Agenția pentru Dezvoltare Regională Sud Muntenia (ADR Sud Muntenia) în calitate de Autoritate de Management pentru Programul Regional Sud Muntenia, cu sediul în str. Munteniei, nr. 7A, localitatea Municipiul Călăraşi, județul Călăraşi, România, cod postal 910164, telefon: 0242331769, fax: -, poștă electronică: office@adrmuntenia.ro, cod fiscal 11390243, reprezentat</w:t>
      </w:r>
      <w:r w:rsidR="00FC4612" w:rsidRPr="00D3751E">
        <w:rPr>
          <w:rFonts w:ascii="Trebuchet MS" w:hAnsi="Trebuchet MS" w:cs="Trebuchet MS"/>
          <w:b/>
          <w:bCs/>
          <w:sz w:val="20"/>
          <w:lang w:val="ro-RO"/>
        </w:rPr>
        <w:t>a</w:t>
      </w:r>
      <w:r w:rsidRPr="00D3751E">
        <w:rPr>
          <w:rFonts w:ascii="Trebuchet MS" w:hAnsi="Trebuchet MS" w:cs="Trebuchet MS"/>
          <w:b/>
          <w:bCs/>
          <w:sz w:val="20"/>
          <w:lang w:val="ro-RO"/>
        </w:rPr>
        <w:t xml:space="preserve"> legal prin Liviu-Gabriel MUȘAT, Director General ADR Sud-Muntenia, denumită în cele ce urmează AM,</w:t>
      </w:r>
    </w:p>
    <w:p w14:paraId="622B1ACA" w14:textId="77777777" w:rsidR="00BE2350" w:rsidRPr="00D3751E" w:rsidRDefault="00BE2350" w:rsidP="00BE2350">
      <w:pPr>
        <w:spacing w:line="360" w:lineRule="auto"/>
        <w:jc w:val="both"/>
        <w:rPr>
          <w:rFonts w:ascii="Trebuchet MS" w:hAnsi="Trebuchet MS" w:cs="Trebuchet MS"/>
          <w:b/>
          <w:bCs/>
          <w:sz w:val="20"/>
          <w:lang w:val="pt-PT"/>
        </w:rPr>
      </w:pPr>
      <w:r w:rsidRPr="00D3751E">
        <w:rPr>
          <w:rFonts w:ascii="Trebuchet MS" w:hAnsi="Trebuchet MS" w:cs="Trebuchet MS"/>
          <w:b/>
          <w:bCs/>
          <w:sz w:val="20"/>
          <w:lang w:val="pt-PT"/>
        </w:rPr>
        <w:t>Și</w:t>
      </w:r>
    </w:p>
    <w:p w14:paraId="05D80ED3" w14:textId="77777777" w:rsidR="00D3751E" w:rsidRPr="00D3751E" w:rsidRDefault="00D3751E" w:rsidP="00FC4612">
      <w:pPr>
        <w:spacing w:line="360" w:lineRule="auto"/>
        <w:jc w:val="both"/>
        <w:rPr>
          <w:rFonts w:ascii="Trebuchet MS" w:hAnsi="Trebuchet MS" w:cs="Trebuchet MS"/>
          <w:b/>
          <w:bCs/>
          <w:sz w:val="20"/>
          <w:lang w:val="pt-PT"/>
        </w:rPr>
      </w:pPr>
    </w:p>
    <w:p w14:paraId="348EDA31" w14:textId="5CB06EB6" w:rsidR="00D3751E" w:rsidRDefault="00D3751E" w:rsidP="00D3751E">
      <w:pPr>
        <w:pStyle w:val="Bodytext20"/>
        <w:shd w:val="clear" w:color="auto" w:fill="auto"/>
        <w:tabs>
          <w:tab w:val="left" w:leader="dot" w:pos="1360"/>
          <w:tab w:val="left" w:leader="dot" w:pos="6723"/>
          <w:tab w:val="left" w:leader="dot" w:pos="9279"/>
        </w:tabs>
        <w:ind w:firstLine="0"/>
        <w:jc w:val="both"/>
        <w:rPr>
          <w:rStyle w:val="Bodytext2Italic"/>
          <w:rFonts w:ascii="Trebuchet MS" w:hAnsi="Trebuchet MS" w:cstheme="minorHAnsi"/>
          <w:sz w:val="20"/>
          <w:szCs w:val="20"/>
        </w:rPr>
      </w:pPr>
      <w:r w:rsidRPr="006A3230">
        <w:rPr>
          <w:rFonts w:ascii="Trebuchet MS" w:hAnsi="Trebuchet MS" w:cstheme="minorHAnsi"/>
          <w:sz w:val="20"/>
          <w:szCs w:val="20"/>
          <w:lang w:val="it-IT"/>
        </w:rPr>
        <w:tab/>
      </w:r>
      <w:r w:rsidRPr="00D3751E">
        <w:rPr>
          <w:rFonts w:ascii="Trebuchet MS" w:hAnsi="Trebuchet MS" w:cstheme="minorHAnsi"/>
          <w:sz w:val="20"/>
          <w:szCs w:val="20"/>
          <w:lang w:val="it-IT"/>
        </w:rPr>
        <w:t>(</w:t>
      </w:r>
      <w:r w:rsidRPr="00D3751E">
        <w:rPr>
          <w:rFonts w:ascii="Trebuchet MS" w:hAnsi="Trebuchet MS" w:cstheme="minorHAnsi"/>
          <w:b/>
          <w:sz w:val="20"/>
          <w:szCs w:val="20"/>
          <w:lang w:val="it-IT"/>
        </w:rPr>
        <w:t>persoana juridică</w:t>
      </w:r>
      <w:r w:rsidRPr="00D3751E">
        <w:rPr>
          <w:rFonts w:ascii="Trebuchet MS" w:hAnsi="Trebuchet MS" w:cstheme="minorHAnsi"/>
          <w:sz w:val="20"/>
          <w:szCs w:val="20"/>
          <w:lang w:val="it-IT"/>
        </w:rPr>
        <w:t>), cod de identificare fiscală</w:t>
      </w:r>
      <w:r w:rsidRPr="00D3751E">
        <w:rPr>
          <w:rFonts w:ascii="Trebuchet MS" w:hAnsi="Trebuchet MS" w:cstheme="minorHAnsi"/>
          <w:sz w:val="20"/>
          <w:szCs w:val="20"/>
          <w:lang w:val="it-IT"/>
        </w:rPr>
        <w:tab/>
        <w:t>, înregistrată la</w:t>
      </w:r>
      <w:r w:rsidRPr="00D3751E">
        <w:rPr>
          <w:rFonts w:ascii="Trebuchet MS" w:hAnsi="Trebuchet MS" w:cstheme="minorHAnsi"/>
          <w:sz w:val="20"/>
          <w:szCs w:val="20"/>
          <w:lang w:val="it-IT"/>
        </w:rPr>
        <w:tab/>
      </w:r>
      <w:r>
        <w:rPr>
          <w:rFonts w:ascii="Trebuchet MS" w:hAnsi="Trebuchet MS" w:cstheme="minorHAnsi"/>
          <w:sz w:val="20"/>
          <w:szCs w:val="20"/>
          <w:lang w:val="it-IT"/>
        </w:rPr>
        <w:t xml:space="preserve">cu nr. </w:t>
      </w:r>
      <w:r w:rsidRPr="00D3751E">
        <w:rPr>
          <w:rFonts w:ascii="Trebuchet MS" w:hAnsi="Trebuchet MS" w:cstheme="minorHAnsi"/>
          <w:sz w:val="20"/>
          <w:szCs w:val="20"/>
          <w:lang w:val="it-IT"/>
        </w:rPr>
        <w:tab/>
        <w:t>/</w:t>
      </w:r>
      <w:r w:rsidRPr="00D3751E">
        <w:rPr>
          <w:rFonts w:ascii="Trebuchet MS" w:hAnsi="Trebuchet MS" w:cstheme="minorHAnsi"/>
          <w:sz w:val="20"/>
          <w:szCs w:val="20"/>
          <w:lang w:val="it-IT"/>
        </w:rPr>
        <w:tab/>
        <w:t>/</w:t>
      </w:r>
      <w:r w:rsidRPr="00D3751E">
        <w:rPr>
          <w:rFonts w:ascii="Trebuchet MS" w:hAnsi="Trebuchet MS" w:cstheme="minorHAnsi"/>
          <w:sz w:val="20"/>
          <w:szCs w:val="20"/>
          <w:lang w:val="it-IT"/>
        </w:rPr>
        <w:tab/>
        <w:t>, cu sediul în localitatea</w:t>
      </w:r>
      <w:r w:rsidRPr="00D3751E">
        <w:rPr>
          <w:rFonts w:ascii="Trebuchet MS" w:hAnsi="Trebuchet MS" w:cstheme="minorHAnsi"/>
          <w:sz w:val="20"/>
          <w:szCs w:val="20"/>
          <w:lang w:val="it-IT"/>
        </w:rPr>
        <w:tab/>
        <w:t>, str</w:t>
      </w:r>
      <w:r w:rsidRPr="00D3751E">
        <w:rPr>
          <w:rFonts w:ascii="Trebuchet MS" w:hAnsi="Trebuchet MS" w:cstheme="minorHAnsi"/>
          <w:sz w:val="20"/>
          <w:szCs w:val="20"/>
          <w:lang w:val="it-IT"/>
        </w:rPr>
        <w:tab/>
        <w:t>nr</w:t>
      </w:r>
      <w:r w:rsidRPr="00D3751E">
        <w:rPr>
          <w:rFonts w:ascii="Trebuchet MS" w:hAnsi="Trebuchet MS" w:cstheme="minorHAnsi"/>
          <w:sz w:val="20"/>
          <w:szCs w:val="20"/>
          <w:lang w:val="it-IT"/>
        </w:rPr>
        <w:tab/>
        <w:t>,</w:t>
      </w:r>
      <w:r>
        <w:rPr>
          <w:rFonts w:ascii="Trebuchet MS" w:hAnsi="Trebuchet MS" w:cstheme="minorHAnsi"/>
          <w:sz w:val="20"/>
          <w:szCs w:val="20"/>
          <w:lang w:val="it-IT"/>
        </w:rPr>
        <w:t xml:space="preserve"> </w:t>
      </w:r>
      <w:r w:rsidRPr="00D3751E">
        <w:rPr>
          <w:rFonts w:ascii="Trebuchet MS" w:hAnsi="Trebuchet MS" w:cstheme="minorHAnsi"/>
          <w:sz w:val="20"/>
          <w:szCs w:val="20"/>
          <w:lang w:val="it-IT"/>
        </w:rPr>
        <w:t>sectorul/judeţul</w:t>
      </w:r>
      <w:r w:rsidRPr="00D3751E">
        <w:rPr>
          <w:rFonts w:ascii="Trebuchet MS" w:hAnsi="Trebuchet MS" w:cstheme="minorHAnsi"/>
          <w:sz w:val="20"/>
          <w:szCs w:val="20"/>
          <w:lang w:val="it-IT"/>
        </w:rPr>
        <w:tab/>
        <w:t>, România, telefon</w:t>
      </w:r>
      <w:r w:rsidRPr="00D3751E">
        <w:rPr>
          <w:rFonts w:ascii="Trebuchet MS" w:hAnsi="Trebuchet MS" w:cstheme="minorHAnsi"/>
          <w:sz w:val="20"/>
          <w:szCs w:val="20"/>
          <w:lang w:val="it-IT"/>
        </w:rPr>
        <w:tab/>
        <w:t>, fax</w:t>
      </w:r>
      <w:r w:rsidRPr="00D3751E">
        <w:rPr>
          <w:rFonts w:ascii="Trebuchet MS" w:hAnsi="Trebuchet MS" w:cstheme="minorHAnsi"/>
          <w:sz w:val="20"/>
          <w:szCs w:val="20"/>
          <w:lang w:val="it-IT"/>
        </w:rPr>
        <w:tab/>
        <w:t>, poştă electronică</w:t>
      </w:r>
      <w:r w:rsidRPr="00D3751E">
        <w:rPr>
          <w:rFonts w:ascii="Trebuchet MS" w:hAnsi="Trebuchet MS" w:cstheme="minorHAnsi"/>
          <w:sz w:val="20"/>
          <w:szCs w:val="20"/>
          <w:lang w:val="it-IT"/>
        </w:rPr>
        <w:tab/>
        <w:t>,</w:t>
      </w:r>
      <w:r>
        <w:rPr>
          <w:rFonts w:ascii="Trebuchet MS" w:hAnsi="Trebuchet MS" w:cstheme="minorHAnsi"/>
          <w:sz w:val="20"/>
          <w:szCs w:val="20"/>
          <w:lang w:val="it-IT"/>
        </w:rPr>
        <w:t xml:space="preserve"> </w:t>
      </w:r>
      <w:r w:rsidRPr="00D3751E">
        <w:rPr>
          <w:rFonts w:ascii="Trebuchet MS" w:hAnsi="Trebuchet MS" w:cstheme="minorHAnsi"/>
          <w:sz w:val="20"/>
          <w:szCs w:val="20"/>
          <w:lang w:val="it-IT"/>
        </w:rPr>
        <w:t>reprezentată legal prin</w:t>
      </w:r>
      <w:r w:rsidRPr="00D3751E">
        <w:rPr>
          <w:rFonts w:ascii="Trebuchet MS" w:hAnsi="Trebuchet MS" w:cstheme="minorHAnsi"/>
          <w:sz w:val="20"/>
          <w:szCs w:val="20"/>
          <w:lang w:val="it-IT"/>
        </w:rPr>
        <w:tab/>
        <w:t>(funcţia deţinută</w:t>
      </w:r>
      <w:r w:rsidRPr="00D3751E">
        <w:rPr>
          <w:rFonts w:ascii="Trebuchet MS" w:hAnsi="Trebuchet MS" w:cstheme="minorHAnsi"/>
          <w:sz w:val="20"/>
          <w:szCs w:val="20"/>
          <w:lang w:val="it-IT"/>
        </w:rPr>
        <w:tab/>
        <w:t>), identificat prin</w:t>
      </w:r>
      <w:r w:rsidRPr="00D3751E">
        <w:rPr>
          <w:rFonts w:ascii="Trebuchet MS" w:hAnsi="Trebuchet MS" w:cstheme="minorHAnsi"/>
          <w:sz w:val="20"/>
          <w:szCs w:val="20"/>
          <w:lang w:val="it-IT"/>
        </w:rPr>
        <w:tab/>
        <w:t>, în calitate de</w:t>
      </w:r>
      <w:r>
        <w:rPr>
          <w:rFonts w:ascii="Trebuchet MS" w:hAnsi="Trebuchet MS" w:cstheme="minorHAnsi"/>
          <w:sz w:val="20"/>
          <w:szCs w:val="20"/>
          <w:lang w:val="it-IT"/>
        </w:rPr>
        <w:t xml:space="preserve"> </w:t>
      </w:r>
      <w:r w:rsidRPr="00D3751E">
        <w:rPr>
          <w:rFonts w:ascii="Trebuchet MS" w:hAnsi="Trebuchet MS" w:cstheme="minorHAnsi"/>
          <w:sz w:val="20"/>
          <w:szCs w:val="20"/>
          <w:lang w:val="it-IT"/>
        </w:rPr>
        <w:t xml:space="preserve">Beneficiar al finanţării/Lider de parteneriat, denumită în continuare </w:t>
      </w:r>
      <w:r w:rsidRPr="0032660B">
        <w:rPr>
          <w:rFonts w:ascii="Trebuchet MS" w:hAnsi="Trebuchet MS" w:cstheme="minorHAnsi"/>
          <w:b/>
          <w:bCs/>
          <w:i/>
          <w:iCs/>
          <w:sz w:val="20"/>
          <w:szCs w:val="20"/>
          <w:lang w:val="it-IT"/>
        </w:rPr>
        <w:t>B</w:t>
      </w:r>
      <w:r w:rsidRPr="00D3751E">
        <w:rPr>
          <w:rStyle w:val="Bodytext2Italic"/>
          <w:rFonts w:ascii="Trebuchet MS" w:hAnsi="Trebuchet MS" w:cstheme="minorHAnsi"/>
          <w:b/>
          <w:bCs/>
          <w:sz w:val="20"/>
          <w:szCs w:val="20"/>
        </w:rPr>
        <w:t>eneficiar</w:t>
      </w:r>
      <w:r w:rsidRPr="00D3751E">
        <w:rPr>
          <w:rStyle w:val="Bodytext2Italic"/>
          <w:rFonts w:ascii="Trebuchet MS" w:hAnsi="Trebuchet MS" w:cstheme="minorHAnsi"/>
          <w:sz w:val="20"/>
          <w:szCs w:val="20"/>
        </w:rPr>
        <w:t xml:space="preserve">, </w:t>
      </w:r>
    </w:p>
    <w:p w14:paraId="09CD0AA4" w14:textId="77777777" w:rsidR="00D3751E" w:rsidRPr="00D3751E" w:rsidRDefault="00D3751E" w:rsidP="00D3751E">
      <w:pPr>
        <w:pStyle w:val="Bodytext20"/>
        <w:shd w:val="clear" w:color="auto" w:fill="auto"/>
        <w:tabs>
          <w:tab w:val="left" w:leader="dot" w:pos="1360"/>
          <w:tab w:val="left" w:leader="dot" w:pos="6723"/>
          <w:tab w:val="left" w:leader="dot" w:pos="9279"/>
        </w:tabs>
        <w:ind w:firstLine="0"/>
        <w:jc w:val="both"/>
        <w:rPr>
          <w:rStyle w:val="Bodytext2Italic"/>
          <w:rFonts w:ascii="Trebuchet MS" w:hAnsi="Trebuchet MS" w:cstheme="minorHAnsi"/>
          <w:i w:val="0"/>
          <w:iCs w:val="0"/>
          <w:color w:val="auto"/>
          <w:sz w:val="20"/>
          <w:szCs w:val="20"/>
          <w:shd w:val="clear" w:color="auto" w:fill="auto"/>
          <w:lang w:val="it-IT" w:eastAsia="en-US" w:bidi="ar-SA"/>
        </w:rPr>
      </w:pPr>
    </w:p>
    <w:p w14:paraId="2AAFA933" w14:textId="5D1EE8DB" w:rsidR="00BE2350" w:rsidRPr="00D3751E" w:rsidRDefault="00BE2350" w:rsidP="00FC4612">
      <w:pPr>
        <w:spacing w:line="360" w:lineRule="auto"/>
        <w:jc w:val="both"/>
        <w:rPr>
          <w:rFonts w:ascii="Trebuchet MS" w:hAnsi="Trebuchet MS" w:cs="Arial"/>
          <w:sz w:val="20"/>
          <w:lang w:val="pt-PT"/>
        </w:rPr>
      </w:pPr>
      <w:r w:rsidRPr="00D3751E">
        <w:rPr>
          <w:rFonts w:ascii="Trebuchet MS" w:hAnsi="Trebuchet MS" w:cs="Arial"/>
          <w:sz w:val="20"/>
          <w:lang w:val="pt-PT"/>
        </w:rPr>
        <w:t>au convenit încheierea prezentului contract, în următoarele condiţii:</w:t>
      </w:r>
    </w:p>
    <w:p w14:paraId="2FFADFFF"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II. Precizări prealabile</w:t>
      </w:r>
    </w:p>
    <w:p w14:paraId="467004A4"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 În prezentul contract de finanţare, cu excepţia situaţiilor când contextul cere altfel sau a unei prevederi contrare:</w:t>
      </w:r>
    </w:p>
    <w:p w14:paraId="526EDA99"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a) cuvintele care indică singularul includ şi pluralul, iar cuvintele care indică pluralul includ şi singularul;</w:t>
      </w:r>
    </w:p>
    <w:p w14:paraId="01C50351"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b) cuvintele care indică un gen includ toate genurile;</w:t>
      </w:r>
    </w:p>
    <w:p w14:paraId="7E1CE4D5"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c) termenul "zi" reprezintă zi calendaristică dacă nu se specifică altfel;</w:t>
      </w:r>
    </w:p>
    <w:p w14:paraId="3583B83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d) termenul "Beneficiar" are înţelesul prevăzut de art. 2 pct. 9 din Regulamentul (UE) nr.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 denumit în continuare Regulamentul (UE) nr. 2021/1.060;</w:t>
      </w:r>
    </w:p>
    <w:p w14:paraId="193FEC7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e) termenul de "destinatar final" are înţelesul prevăzut de art. 2 pct. 18 din Regulamentul (UE) nr. 2021/1.060;</w:t>
      </w:r>
    </w:p>
    <w:p w14:paraId="445FE8E0"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f) termenul de "relocare" are înţelesul prevăzut de art. 2 pct. 27 din Regulamentul (UE) nr. 2021/1.060;</w:t>
      </w:r>
    </w:p>
    <w:p w14:paraId="2E75AA13"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lastRenderedPageBreak/>
        <w:t>g) termenul "lider de parteneriat" are înţelesul prevăzut de art. 2 alin. (4) lit. q) din O.U.G. nr. 133/2021 privind gestionarea financiară a fondurilor europene pentru perioada de programare 2021-2027 alocate României din Fondul european de dezvoltare regională, Fondul de coeziune, Fondul social european Plus, Fondul pentru o tranziţie justă;</w:t>
      </w:r>
    </w:p>
    <w:p w14:paraId="730A666D"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h) în înţelesul prezentului contract de finanţare şi al anexelor acestuia, trimiterile la actele normative includ şi modificările şi completările ulterioare ale acestora, precum şi orice alte acte normative subsecvente;</w:t>
      </w:r>
    </w:p>
    <w:p w14:paraId="71086765"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i) în cazul în care oricare dintre prevederile prezentului contract de finanţare este sau devine nulă, invalidă sau neexecutabilă conform legii, legalitatea, valabilitatea şi posibilitatea de executare a celorlalte prevederi vor rămâne neafectate, iar părţile vor depune eforturile necesare pentru a realiza acele acte şi/sau modificări care ar conduce la acelaşi rezultat legal şi/sau economic care s-a avut în vedere la data încheierii contractului de finanţare;</w:t>
      </w:r>
    </w:p>
    <w:p w14:paraId="6A737B02"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j) în înţelesul prezentului contract de finanţare, atunci când proiectul se implementează în parteneriat, prin "Beneficiar" se înţelege întregul parteneriat (lider de parteneriat şi parteneri);</w:t>
      </w:r>
    </w:p>
    <w:p w14:paraId="6B42FC87"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k) în înţelesul prezentului contract de finanţare orice referire la contract se va interpreta ca fiind făcută atât la contract, cât şi la anexele acestuia;</w:t>
      </w:r>
    </w:p>
    <w:p w14:paraId="03DEAA1A"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l) în înţelesul prezentului contract de finanţare, dacă prin acte normative nu se prevede altfel, termenele (inclusiv durata contractului) se calculează după cum urmează:</w:t>
      </w:r>
    </w:p>
    <w:p w14:paraId="10306005"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(i) când termenul este stabilit pe luni, el se împlineşte în ziua corespunzătoare din ultima lună. Dacă ultima lună nu are o zi corespunzătoare celei în care termenul a început să curgă, termenul se împlineşte în ultima zi a acestei luni;</w:t>
      </w:r>
    </w:p>
    <w:p w14:paraId="2AE0589D"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(ii) când termenul este stabilit pe zile, acesta începe să curgă în ziua intrării în vigoare a contractului şi se împlineşte la ora 24.00 din ultima zi;</w:t>
      </w:r>
    </w:p>
    <w:p w14:paraId="7BB44CBC"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(iii) când termenul este stabilit atât pe luni, cât şi pe zile, termenul se calculează aplicând regulile stabilite la pct. (i), iar termenul pe zile curge în continuarea celui stabilit pe luni şi se împlineşte la ora 24.00 din ultima zi;</w:t>
      </w:r>
    </w:p>
    <w:p w14:paraId="4EF0AFFF"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(iv) dacă ultima zi a termenului este o zi nelucrătoare, termenul se consideră împlinit la sfârşitul primei zile lucrătoare care îi urmează;</w:t>
      </w:r>
    </w:p>
    <w:p w14:paraId="029CB277"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m) în înţelesul prezentului contract de finanţare, perioada în care contractul de finanţare încheiat produce efecte reprezintă perioada cuprinsă între data semnării contractului de finanţare de către AM şi data închiderii Programului sau data expirării perioadei pentru care trebuie asigurat caracterul durabil sau sustenabilitatea/durabilitatea proiectului, după caz, oricare intervine ultima.</w:t>
      </w:r>
    </w:p>
    <w:p w14:paraId="50773720"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 Finanţarea nerambursabilă acordată Beneficiarului este stabilită în termenii şi condiţiile prezentului contract de finanţare.</w:t>
      </w:r>
    </w:p>
    <w:p w14:paraId="088AB3CD"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 Contractul de finanţare este un contract de adeziune. Acesta stabileşte cadrul juridic general în care se va desfăşura relaţia contractuală dintre AM şi Beneficiar. Raporturile juridice dintre AM şi Beneficiar vor fi guvernate de prezentul contract de finanţare care, împreună cu dispoziţiile prevăzute în fiecare dintre documentele contractului de finanţare, vor reprezenta legea părţilor.</w:t>
      </w:r>
    </w:p>
    <w:p w14:paraId="4C207C8A"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III. Condiţii generale</w:t>
      </w:r>
    </w:p>
    <w:p w14:paraId="15569566" w14:textId="77777777" w:rsidR="00BE2350" w:rsidRPr="00D3751E" w:rsidRDefault="00BE2350" w:rsidP="00BE2350">
      <w:pPr>
        <w:pStyle w:val="al"/>
        <w:spacing w:line="345" w:lineRule="atLeast"/>
        <w:rPr>
          <w:rFonts w:ascii="Trebuchet MS" w:hAnsi="Trebuchet MS" w:cs="Arial"/>
          <w:b/>
          <w:bCs/>
          <w:sz w:val="20"/>
          <w:szCs w:val="20"/>
          <w:lang w:val="pt-PT"/>
        </w:rPr>
      </w:pPr>
      <w:r w:rsidRPr="00D3751E">
        <w:rPr>
          <w:rFonts w:ascii="Trebuchet MS" w:hAnsi="Trebuchet MS" w:cs="Arial"/>
          <w:b/>
          <w:bCs/>
          <w:sz w:val="20"/>
          <w:szCs w:val="20"/>
          <w:lang w:val="pt-PT"/>
        </w:rPr>
        <w:t>Art. 1. – Obiectul contractului de finanțare</w:t>
      </w:r>
    </w:p>
    <w:p w14:paraId="750E6C4C" w14:textId="3E53EE48" w:rsidR="00BE2350" w:rsidRPr="00D3751E" w:rsidRDefault="00BE2350" w:rsidP="008F0E88">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lastRenderedPageBreak/>
        <w:t>(1) Obiectul contractului îl reprezintă acordarea finanțării nerambursabile de către AM_PRSM_Agenția pentru Dezvoltare Regională</w:t>
      </w:r>
      <w:r w:rsidR="00FC4612" w:rsidRPr="00D3751E">
        <w:rPr>
          <w:rFonts w:ascii="Trebuchet MS" w:hAnsi="Trebuchet MS" w:cs="Arial"/>
          <w:b/>
          <w:bCs/>
          <w:sz w:val="20"/>
          <w:szCs w:val="20"/>
          <w:lang w:val="pt-PT"/>
        </w:rPr>
        <w:t xml:space="preserve"> </w:t>
      </w:r>
      <w:r w:rsidRPr="00D3751E">
        <w:rPr>
          <w:rFonts w:ascii="Trebuchet MS" w:hAnsi="Trebuchet MS" w:cs="Arial"/>
          <w:b/>
          <w:bCs/>
          <w:sz w:val="20"/>
          <w:szCs w:val="20"/>
          <w:lang w:val="pt-PT"/>
        </w:rPr>
        <w:t xml:space="preserve">Sud-Muntenia (ADR Sud-Muntenia), pentru implementarea proiectului cod SMIS </w:t>
      </w:r>
      <w:r w:rsidR="00C03E36">
        <w:rPr>
          <w:rFonts w:ascii="Trebuchet MS" w:hAnsi="Trebuchet MS" w:cs="Arial"/>
          <w:b/>
          <w:bCs/>
          <w:sz w:val="20"/>
          <w:szCs w:val="20"/>
          <w:lang w:val="pt-PT"/>
        </w:rPr>
        <w:t>.....</w:t>
      </w:r>
      <w:r w:rsidRPr="00D3751E">
        <w:rPr>
          <w:rFonts w:ascii="Trebuchet MS" w:hAnsi="Trebuchet MS" w:cs="Arial"/>
          <w:b/>
          <w:bCs/>
          <w:sz w:val="20"/>
          <w:szCs w:val="20"/>
          <w:lang w:val="pt-PT"/>
        </w:rPr>
        <w:t>, intitulat “</w:t>
      </w:r>
      <w:r w:rsidR="00C03E36">
        <w:rPr>
          <w:rFonts w:ascii="Trebuchet MS" w:hAnsi="Trebuchet MS" w:cs="Arial"/>
          <w:b/>
          <w:bCs/>
          <w:sz w:val="20"/>
          <w:szCs w:val="20"/>
          <w:lang w:val="pt-PT"/>
        </w:rPr>
        <w:t>...............................</w:t>
      </w:r>
      <w:r w:rsidRPr="00D3751E">
        <w:rPr>
          <w:rFonts w:ascii="Trebuchet MS" w:hAnsi="Trebuchet MS" w:cs="Arial"/>
          <w:b/>
          <w:bCs/>
          <w:sz w:val="20"/>
          <w:szCs w:val="20"/>
          <w:lang w:val="pt-PT"/>
        </w:rPr>
        <w:t>”, denumit în continuare Proiect, în conformitate cu obligațiile asumate prin prezentul contract de finanțare, inclusiv anexele care fac parte integrantă din acesta.</w:t>
      </w:r>
    </w:p>
    <w:p w14:paraId="455D9B51"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 Beneficiarul se angajează să implementeze proiectul, în conformitate cu prevederile cuprinse în prezentul contract de finanțare, inclusiv anexele care fac parte din acesta, și cu legislația europeană şi națională aplicabilă.</w:t>
      </w:r>
    </w:p>
    <w:p w14:paraId="331C4812"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 AM se angajează să plătească finanţarea nerambursabilă la termenele şi în condiţiile prevăzute în prezentul contract şi în conformitate cu legislaţia europeană şi naţională aplicabilă.</w:t>
      </w:r>
    </w:p>
    <w:p w14:paraId="5F05A59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2. - Durata contractului</w:t>
      </w:r>
      <w:r w:rsidRPr="00D3751E">
        <w:rPr>
          <w:rFonts w:ascii="Trebuchet MS" w:hAnsi="Trebuchet MS" w:cs="Arial"/>
          <w:sz w:val="20"/>
          <w:szCs w:val="20"/>
          <w:lang w:val="pt-PT"/>
        </w:rPr>
        <w:t xml:space="preserve"> </w:t>
      </w:r>
    </w:p>
    <w:p w14:paraId="76AF7862"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 Contractul de finanţare intră în vigoare şi produce efecte de la data semnării de către ultima parte.</w:t>
      </w:r>
    </w:p>
    <w:p w14:paraId="5F3A5944" w14:textId="145EEC3B" w:rsidR="008F0E88" w:rsidRPr="00D3751E" w:rsidRDefault="00BE2350" w:rsidP="008F0E88">
      <w:pPr>
        <w:pStyle w:val="al"/>
        <w:spacing w:line="345" w:lineRule="atLeast"/>
        <w:rPr>
          <w:rFonts w:ascii="Trebuchet MS" w:hAnsi="Trebuchet MS" w:cs="Arial"/>
          <w:color w:val="333333"/>
          <w:sz w:val="20"/>
          <w:szCs w:val="20"/>
          <w:lang w:val="pt-PT"/>
        </w:rPr>
      </w:pPr>
      <w:r w:rsidRPr="00D3751E">
        <w:rPr>
          <w:rFonts w:ascii="Trebuchet MS" w:hAnsi="Trebuchet MS" w:cs="Arial"/>
          <w:sz w:val="20"/>
          <w:szCs w:val="20"/>
          <w:lang w:val="pt-PT"/>
        </w:rPr>
        <w:t xml:space="preserve">(2) Perioada de implementare a proiectului este de </w:t>
      </w:r>
      <w:r w:rsidR="00C03E36">
        <w:rPr>
          <w:rFonts w:ascii="Trebuchet MS" w:hAnsi="Trebuchet MS" w:cs="Arial"/>
          <w:sz w:val="20"/>
          <w:szCs w:val="20"/>
          <w:lang w:val="pt-PT"/>
        </w:rPr>
        <w:t>............</w:t>
      </w:r>
      <w:r w:rsidRPr="00D3751E">
        <w:rPr>
          <w:rFonts w:ascii="Trebuchet MS" w:hAnsi="Trebuchet MS" w:cs="Arial"/>
          <w:sz w:val="20"/>
          <w:szCs w:val="20"/>
          <w:lang w:val="pt-PT"/>
        </w:rPr>
        <w:t xml:space="preserve"> luni </w:t>
      </w:r>
      <w:r w:rsidR="008F0E88" w:rsidRPr="00D3751E">
        <w:rPr>
          <w:rFonts w:ascii="Trebuchet MS" w:hAnsi="Trebuchet MS" w:cs="Arial"/>
          <w:color w:val="333333"/>
          <w:sz w:val="20"/>
          <w:szCs w:val="20"/>
          <w:lang w:val="pt-PT"/>
        </w:rPr>
        <w:t>de la data semnării contractului de finanţare de către ultima parte, la care se adaugă, dacă este cazul, şi perioada de desfăşurare a activităţilor proiectului înainte de semnarea contractului de finanţare, conform regulilor de eligibilitate a cheltuielilor.</w:t>
      </w:r>
    </w:p>
    <w:p w14:paraId="546ED18C" w14:textId="5C7F80A9"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 Perioada de implementare a proiectului poate fi prelungită prin acordul părţilor, în conformitate cu prevederile art. 10, cu încadrare în perioada de implementare maximă stabilită în Ghidul solicitantului, dacă a fost prevăzută, fără ca aceasta să depăşească data de 31 decembrie 2029.</w:t>
      </w:r>
    </w:p>
    <w:p w14:paraId="3A69DD33"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(4) Contractul de finanţare produce efecte de la data semnării de către ultima parte până la data închiderii Programului sau data expirării perioadei pentru care trebuie asigurat caracterul durabil al proiectului, respectiv sustenabilitatea/durabilitatea proiectului, oricare intervine ultima.</w:t>
      </w:r>
    </w:p>
    <w:p w14:paraId="0A57B23D"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(5) În cazul proiectelor care includ investiţii productive sau în infrastructură şi al celor care nu sunt cofinanţate din Fondul social european Plus (FSE+) sau nu fac parte din operaţiunile cofinanţate din Fondul pentru o tranziţie justă (FTJ) care fac obiectul art. 8 alin. (2) lit. k), l), m) din Regulamentul (UE) nr. 2021/1.056 al Parlamentului European şi al Consiliului din 24 iunie 2021 de instituire a Fondului pentru o tranziţie justă, Beneficiarul are obligaţia asigurării caracterului durabil al proiectului pentru o durată de minimum 3 ani pentru beneficiarii încadraţi în categoria IMM, respectiv minimum 5 ani pentru celelalte categorii de beneficiari, calculată de la efectuarea plăţii finale în cadrul prezentului contract de finanţare, sau, în cazul proiectelor finanţate sub incidenţa ajutorului de stat, pentru durata prevăzută în reglementările aplicabile ajutorului de stat, oricare dintre acestea este mai mare. Finanţarea nerambursabilă acordată se recuperează total sau parţial de la Beneficiar dacă, în perioada pentru care trebuie asigurat caracterul durabil, proiectul face obiectul oricăreia din următoarele:</w:t>
      </w:r>
    </w:p>
    <w:p w14:paraId="615D974A"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a) încetarea unei activităţi productive sau transferul acesteia în afara regiunii de nivel NUTS 2 în care a primit sprijin;</w:t>
      </w:r>
    </w:p>
    <w:p w14:paraId="5E81D683"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b) o modificare a proprietăţii asupra unui element de infrastructură care conferă un avantaj nejustificat unei întreprinderi sau unui organism public;</w:t>
      </w:r>
    </w:p>
    <w:p w14:paraId="360F3742"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c) o modificare substanţială care afectează natura, obiectivele sau condiţiile de implementare a proiectului şi care ar conduce la subminarea obiectivelor iniţiale ale acestuia.</w:t>
      </w:r>
    </w:p>
    <w:p w14:paraId="00C7A663" w14:textId="77777777" w:rsidR="00BE2350" w:rsidRPr="00D3751E" w:rsidRDefault="00BE2350" w:rsidP="00BE2350">
      <w:pPr>
        <w:pStyle w:val="al"/>
        <w:spacing w:line="345" w:lineRule="atLeast"/>
        <w:rPr>
          <w:rFonts w:ascii="Trebuchet MS" w:hAnsi="Trebuchet MS" w:cs="Arial"/>
          <w:sz w:val="20"/>
          <w:szCs w:val="20"/>
        </w:rPr>
      </w:pPr>
      <w:r w:rsidRPr="00D3751E">
        <w:rPr>
          <w:rFonts w:ascii="Trebuchet MS" w:hAnsi="Trebuchet MS" w:cs="Arial"/>
          <w:sz w:val="20"/>
          <w:szCs w:val="20"/>
        </w:rPr>
        <w:t xml:space="preserve">(6) </w:t>
      </w:r>
      <w:proofErr w:type="spellStart"/>
      <w:r w:rsidRPr="00D3751E">
        <w:rPr>
          <w:rFonts w:ascii="Trebuchet MS" w:hAnsi="Trebuchet MS" w:cs="Arial"/>
          <w:sz w:val="20"/>
          <w:szCs w:val="20"/>
        </w:rPr>
        <w:t>În</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cazul</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proiectelor</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cofinanţate</w:t>
      </w:r>
      <w:proofErr w:type="spellEnd"/>
      <w:r w:rsidRPr="00D3751E">
        <w:rPr>
          <w:rFonts w:ascii="Trebuchet MS" w:hAnsi="Trebuchet MS" w:cs="Arial"/>
          <w:sz w:val="20"/>
          <w:szCs w:val="20"/>
        </w:rPr>
        <w:t xml:space="preserve"> din FSE+ </w:t>
      </w:r>
      <w:proofErr w:type="spellStart"/>
      <w:r w:rsidRPr="00D3751E">
        <w:rPr>
          <w:rFonts w:ascii="Trebuchet MS" w:hAnsi="Trebuchet MS" w:cs="Arial"/>
          <w:sz w:val="20"/>
          <w:szCs w:val="20"/>
        </w:rPr>
        <w:t>sau</w:t>
      </w:r>
      <w:proofErr w:type="spellEnd"/>
      <w:r w:rsidRPr="00D3751E">
        <w:rPr>
          <w:rFonts w:ascii="Trebuchet MS" w:hAnsi="Trebuchet MS" w:cs="Arial"/>
          <w:sz w:val="20"/>
          <w:szCs w:val="20"/>
        </w:rPr>
        <w:t xml:space="preserve"> din FTJ </w:t>
      </w:r>
      <w:proofErr w:type="spellStart"/>
      <w:r w:rsidRPr="00D3751E">
        <w:rPr>
          <w:rFonts w:ascii="Trebuchet MS" w:hAnsi="Trebuchet MS" w:cs="Arial"/>
          <w:sz w:val="20"/>
          <w:szCs w:val="20"/>
        </w:rPr>
        <w:t>pentru</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operaţiunile</w:t>
      </w:r>
      <w:proofErr w:type="spellEnd"/>
      <w:r w:rsidRPr="00D3751E">
        <w:rPr>
          <w:rFonts w:ascii="Trebuchet MS" w:hAnsi="Trebuchet MS" w:cs="Arial"/>
          <w:sz w:val="20"/>
          <w:szCs w:val="20"/>
        </w:rPr>
        <w:t xml:space="preserve"> care fac </w:t>
      </w:r>
      <w:proofErr w:type="spellStart"/>
      <w:r w:rsidRPr="00D3751E">
        <w:rPr>
          <w:rFonts w:ascii="Trebuchet MS" w:hAnsi="Trebuchet MS" w:cs="Arial"/>
          <w:sz w:val="20"/>
          <w:szCs w:val="20"/>
        </w:rPr>
        <w:t>obiectul</w:t>
      </w:r>
      <w:proofErr w:type="spellEnd"/>
      <w:r w:rsidRPr="00D3751E">
        <w:rPr>
          <w:rFonts w:ascii="Trebuchet MS" w:hAnsi="Trebuchet MS" w:cs="Arial"/>
          <w:sz w:val="20"/>
          <w:szCs w:val="20"/>
        </w:rPr>
        <w:t xml:space="preserve"> art. 8 </w:t>
      </w:r>
      <w:proofErr w:type="spellStart"/>
      <w:r w:rsidRPr="00D3751E">
        <w:rPr>
          <w:rFonts w:ascii="Trebuchet MS" w:hAnsi="Trebuchet MS" w:cs="Arial"/>
          <w:sz w:val="20"/>
          <w:szCs w:val="20"/>
        </w:rPr>
        <w:t>alin</w:t>
      </w:r>
      <w:proofErr w:type="spellEnd"/>
      <w:r w:rsidRPr="00D3751E">
        <w:rPr>
          <w:rFonts w:ascii="Trebuchet MS" w:hAnsi="Trebuchet MS" w:cs="Arial"/>
          <w:sz w:val="20"/>
          <w:szCs w:val="20"/>
        </w:rPr>
        <w:t xml:space="preserve">. (2) lit. k), l), m) din </w:t>
      </w:r>
      <w:proofErr w:type="spellStart"/>
      <w:r w:rsidRPr="00D3751E">
        <w:rPr>
          <w:rFonts w:ascii="Trebuchet MS" w:hAnsi="Trebuchet MS" w:cs="Arial"/>
          <w:sz w:val="20"/>
          <w:szCs w:val="20"/>
        </w:rPr>
        <w:t>Regulamentul</w:t>
      </w:r>
      <w:proofErr w:type="spellEnd"/>
      <w:r w:rsidRPr="00D3751E">
        <w:rPr>
          <w:rFonts w:ascii="Trebuchet MS" w:hAnsi="Trebuchet MS" w:cs="Arial"/>
          <w:sz w:val="20"/>
          <w:szCs w:val="20"/>
        </w:rPr>
        <w:t xml:space="preserve"> (UE) nr. 2021/1.056, </w:t>
      </w:r>
      <w:proofErr w:type="spellStart"/>
      <w:r w:rsidRPr="00D3751E">
        <w:rPr>
          <w:rFonts w:ascii="Trebuchet MS" w:hAnsi="Trebuchet MS" w:cs="Arial"/>
          <w:sz w:val="20"/>
          <w:szCs w:val="20"/>
        </w:rPr>
        <w:t>Beneficiarul</w:t>
      </w:r>
      <w:proofErr w:type="spellEnd"/>
      <w:r w:rsidRPr="00D3751E">
        <w:rPr>
          <w:rFonts w:ascii="Trebuchet MS" w:hAnsi="Trebuchet MS" w:cs="Arial"/>
          <w:sz w:val="20"/>
          <w:szCs w:val="20"/>
        </w:rPr>
        <w:t xml:space="preserve"> are </w:t>
      </w:r>
      <w:proofErr w:type="spellStart"/>
      <w:r w:rsidRPr="00D3751E">
        <w:rPr>
          <w:rFonts w:ascii="Trebuchet MS" w:hAnsi="Trebuchet MS" w:cs="Arial"/>
          <w:sz w:val="20"/>
          <w:szCs w:val="20"/>
        </w:rPr>
        <w:t>obligaţia</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asigurării</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sustenabilităţii</w:t>
      </w:r>
      <w:proofErr w:type="spellEnd"/>
      <w:r w:rsidRPr="00D3751E">
        <w:rPr>
          <w:rFonts w:ascii="Trebuchet MS" w:hAnsi="Trebuchet MS" w:cs="Arial"/>
          <w:sz w:val="20"/>
          <w:szCs w:val="20"/>
        </w:rPr>
        <w:t>/</w:t>
      </w:r>
      <w:proofErr w:type="spellStart"/>
      <w:r w:rsidRPr="00D3751E">
        <w:rPr>
          <w:rFonts w:ascii="Trebuchet MS" w:hAnsi="Trebuchet MS" w:cs="Arial"/>
          <w:sz w:val="20"/>
          <w:szCs w:val="20"/>
        </w:rPr>
        <w:t>durabilităţii</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lastRenderedPageBreak/>
        <w:t>proiectului</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în</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condiţiile</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şi</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pentru</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perioada</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stabilită</w:t>
      </w:r>
      <w:proofErr w:type="spellEnd"/>
      <w:r w:rsidRPr="00D3751E">
        <w:rPr>
          <w:rFonts w:ascii="Trebuchet MS" w:hAnsi="Trebuchet MS" w:cs="Arial"/>
          <w:sz w:val="20"/>
          <w:szCs w:val="20"/>
        </w:rPr>
        <w:t xml:space="preserve"> de AM </w:t>
      </w:r>
      <w:proofErr w:type="spellStart"/>
      <w:r w:rsidRPr="00D3751E">
        <w:rPr>
          <w:rFonts w:ascii="Trebuchet MS" w:hAnsi="Trebuchet MS" w:cs="Arial"/>
          <w:sz w:val="20"/>
          <w:szCs w:val="20"/>
        </w:rPr>
        <w:t>prin</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Condiţii</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specifice</w:t>
      </w:r>
      <w:proofErr w:type="spellEnd"/>
      <w:r w:rsidRPr="00D3751E">
        <w:rPr>
          <w:rFonts w:ascii="Trebuchet MS" w:hAnsi="Trebuchet MS" w:cs="Arial"/>
          <w:sz w:val="20"/>
          <w:szCs w:val="20"/>
        </w:rPr>
        <w:t>/</w:t>
      </w:r>
      <w:proofErr w:type="spellStart"/>
      <w:r w:rsidRPr="00D3751E">
        <w:rPr>
          <w:rFonts w:ascii="Trebuchet MS" w:hAnsi="Trebuchet MS" w:cs="Arial"/>
          <w:sz w:val="20"/>
          <w:szCs w:val="20"/>
        </w:rPr>
        <w:t>Ghidul</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solicitantului</w:t>
      </w:r>
      <w:proofErr w:type="spellEnd"/>
      <w:r w:rsidRPr="00D3751E">
        <w:rPr>
          <w:rFonts w:ascii="Trebuchet MS" w:hAnsi="Trebuchet MS" w:cs="Arial"/>
          <w:sz w:val="20"/>
          <w:szCs w:val="20"/>
        </w:rPr>
        <w:t xml:space="preserve">, calculate de la </w:t>
      </w:r>
      <w:proofErr w:type="spellStart"/>
      <w:r w:rsidRPr="00D3751E">
        <w:rPr>
          <w:rFonts w:ascii="Trebuchet MS" w:hAnsi="Trebuchet MS" w:cs="Arial"/>
          <w:sz w:val="20"/>
          <w:szCs w:val="20"/>
        </w:rPr>
        <w:t>efectuarea</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plăţii</w:t>
      </w:r>
      <w:proofErr w:type="spellEnd"/>
      <w:r w:rsidRPr="00D3751E">
        <w:rPr>
          <w:rFonts w:ascii="Trebuchet MS" w:hAnsi="Trebuchet MS" w:cs="Arial"/>
          <w:sz w:val="20"/>
          <w:szCs w:val="20"/>
        </w:rPr>
        <w:t xml:space="preserve"> finale </w:t>
      </w:r>
      <w:proofErr w:type="spellStart"/>
      <w:r w:rsidRPr="00D3751E">
        <w:rPr>
          <w:rFonts w:ascii="Trebuchet MS" w:hAnsi="Trebuchet MS" w:cs="Arial"/>
          <w:sz w:val="20"/>
          <w:szCs w:val="20"/>
        </w:rPr>
        <w:t>în</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cadrul</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prezentului</w:t>
      </w:r>
      <w:proofErr w:type="spellEnd"/>
      <w:r w:rsidRPr="00D3751E">
        <w:rPr>
          <w:rFonts w:ascii="Trebuchet MS" w:hAnsi="Trebuchet MS" w:cs="Arial"/>
          <w:sz w:val="20"/>
          <w:szCs w:val="20"/>
        </w:rPr>
        <w:t xml:space="preserve"> contract, </w:t>
      </w:r>
      <w:proofErr w:type="spellStart"/>
      <w:r w:rsidRPr="00D3751E">
        <w:rPr>
          <w:rFonts w:ascii="Trebuchet MS" w:hAnsi="Trebuchet MS" w:cs="Arial"/>
          <w:sz w:val="20"/>
          <w:szCs w:val="20"/>
        </w:rPr>
        <w:t>sau</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pentru</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durata</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prevăzută</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în</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reglementările</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privind</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ajutorul</w:t>
      </w:r>
      <w:proofErr w:type="spellEnd"/>
      <w:r w:rsidRPr="00D3751E">
        <w:rPr>
          <w:rFonts w:ascii="Trebuchet MS" w:hAnsi="Trebuchet MS" w:cs="Arial"/>
          <w:sz w:val="20"/>
          <w:szCs w:val="20"/>
        </w:rPr>
        <w:t xml:space="preserve"> de stat, </w:t>
      </w:r>
      <w:proofErr w:type="spellStart"/>
      <w:r w:rsidRPr="00D3751E">
        <w:rPr>
          <w:rFonts w:ascii="Trebuchet MS" w:hAnsi="Trebuchet MS" w:cs="Arial"/>
          <w:sz w:val="20"/>
          <w:szCs w:val="20"/>
        </w:rPr>
        <w:t>oricare</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dintre</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acestea</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este</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mai</w:t>
      </w:r>
      <w:proofErr w:type="spellEnd"/>
      <w:r w:rsidRPr="00D3751E">
        <w:rPr>
          <w:rFonts w:ascii="Trebuchet MS" w:hAnsi="Trebuchet MS" w:cs="Arial"/>
          <w:sz w:val="20"/>
          <w:szCs w:val="20"/>
        </w:rPr>
        <w:t xml:space="preserve"> mare.</w:t>
      </w:r>
    </w:p>
    <w:p w14:paraId="0646DB6A"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(7) Reducerea valorii eligibile acordate din fonduri europene şi din bugetul naţional se calculează proporţional cu perioada pentru care nu este asigurat (ă) caracterul durabil sau sustenabilitatea/durabilitatea proiectului, după caz, aşa cum este specificat la alin. (5) şi (6). Sunt exceptate situaţiile în care încetarea activităţii este rezultatul unui faliment nefraudulos, în conformitate cu prevederile art. 65 alin. (3) din Regulamentul (UE) nr. 2021/1.060.</w:t>
      </w:r>
    </w:p>
    <w:p w14:paraId="675C34DE" w14:textId="77777777" w:rsidR="00BE2350"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3. - Valoarea contractului de finanţare</w:t>
      </w:r>
      <w:r w:rsidRPr="00D3751E">
        <w:rPr>
          <w:rFonts w:ascii="Trebuchet MS" w:hAnsi="Trebuchet MS" w:cs="Arial"/>
          <w:sz w:val="20"/>
          <w:szCs w:val="20"/>
          <w:lang w:val="pt-PT"/>
        </w:rPr>
        <w:t xml:space="preserve"> </w:t>
      </w:r>
    </w:p>
    <w:p w14:paraId="2F403386" w14:textId="77777777" w:rsidR="00D3751E" w:rsidRPr="00D3751E" w:rsidRDefault="00D3751E" w:rsidP="00BE2350">
      <w:pPr>
        <w:pStyle w:val="al"/>
        <w:spacing w:line="345" w:lineRule="atLeast"/>
        <w:rPr>
          <w:rFonts w:ascii="Trebuchet MS" w:hAnsi="Trebuchet MS" w:cs="Arial"/>
          <w:sz w:val="20"/>
          <w:szCs w:val="20"/>
          <w:lang w:val="pt-PT"/>
        </w:rPr>
      </w:pPr>
    </w:p>
    <w:p w14:paraId="136B6005" w14:textId="77777777" w:rsidR="00D3751E" w:rsidRPr="00D3751E" w:rsidRDefault="00D3751E" w:rsidP="00D3751E">
      <w:pPr>
        <w:pStyle w:val="Bodytext20"/>
        <w:numPr>
          <w:ilvl w:val="0"/>
          <w:numId w:val="10"/>
        </w:numPr>
        <w:shd w:val="clear" w:color="auto" w:fill="auto"/>
        <w:tabs>
          <w:tab w:val="left" w:pos="394"/>
          <w:tab w:val="left" w:leader="dot" w:pos="4862"/>
        </w:tabs>
        <w:spacing w:line="244" w:lineRule="exact"/>
        <w:ind w:firstLine="0"/>
        <w:jc w:val="left"/>
        <w:rPr>
          <w:rFonts w:asciiTheme="minorHAnsi" w:hAnsiTheme="minorHAnsi" w:cstheme="minorHAnsi"/>
          <w:sz w:val="24"/>
          <w:szCs w:val="24"/>
          <w:lang w:val="it-IT"/>
        </w:rPr>
      </w:pPr>
      <w:r w:rsidRPr="00D3751E">
        <w:rPr>
          <w:rFonts w:asciiTheme="minorHAnsi" w:hAnsiTheme="minorHAnsi" w:cstheme="minorHAnsi"/>
          <w:sz w:val="24"/>
          <w:szCs w:val="24"/>
          <w:lang w:val="it-IT"/>
        </w:rPr>
        <w:t>Valoarea totală a contractului este de</w:t>
      </w:r>
      <w:r w:rsidRPr="00D3751E">
        <w:rPr>
          <w:rFonts w:asciiTheme="minorHAnsi" w:hAnsiTheme="minorHAnsi" w:cstheme="minorHAnsi"/>
          <w:sz w:val="24"/>
          <w:szCs w:val="24"/>
          <w:lang w:val="it-IT"/>
        </w:rPr>
        <w:tab/>
        <w:t>lei (valoarea în litere), după cum urmează:</w:t>
      </w:r>
    </w:p>
    <w:p w14:paraId="194F4D00" w14:textId="77777777" w:rsidR="00D3751E" w:rsidRPr="00D3751E" w:rsidRDefault="00D3751E" w:rsidP="00D3751E">
      <w:pPr>
        <w:pStyle w:val="Bodytext20"/>
        <w:shd w:val="clear" w:color="auto" w:fill="auto"/>
        <w:tabs>
          <w:tab w:val="left" w:pos="394"/>
          <w:tab w:val="left" w:leader="dot" w:pos="4862"/>
        </w:tabs>
        <w:spacing w:line="244" w:lineRule="exact"/>
        <w:ind w:firstLine="0"/>
        <w:jc w:val="left"/>
        <w:rPr>
          <w:rFonts w:asciiTheme="minorHAnsi" w:hAnsiTheme="minorHAnsi" w:cstheme="minorHAnsi"/>
          <w:sz w:val="24"/>
          <w:szCs w:val="24"/>
          <w:lang w:val="it-IT"/>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181"/>
        <w:gridCol w:w="1138"/>
        <w:gridCol w:w="1094"/>
        <w:gridCol w:w="1109"/>
        <w:gridCol w:w="1109"/>
        <w:gridCol w:w="1109"/>
        <w:gridCol w:w="1109"/>
        <w:gridCol w:w="1157"/>
        <w:gridCol w:w="1243"/>
      </w:tblGrid>
      <w:tr w:rsidR="00D3751E" w:rsidRPr="00B70D54" w14:paraId="6F816A17" w14:textId="77777777" w:rsidTr="00623631">
        <w:trPr>
          <w:trHeight w:hRule="exact" w:val="1859"/>
          <w:jc w:val="center"/>
        </w:trPr>
        <w:tc>
          <w:tcPr>
            <w:tcW w:w="1181" w:type="dxa"/>
            <w:tcBorders>
              <w:top w:val="single" w:sz="4" w:space="0" w:color="auto"/>
              <w:left w:val="single" w:sz="4" w:space="0" w:color="auto"/>
            </w:tcBorders>
            <w:shd w:val="clear" w:color="auto" w:fill="FFFFFF"/>
            <w:vAlign w:val="center"/>
          </w:tcPr>
          <w:p w14:paraId="1249C0C9" w14:textId="77777777" w:rsidR="00D3751E" w:rsidRPr="00D3751E" w:rsidRDefault="00D3751E" w:rsidP="00623631">
            <w:pPr>
              <w:pStyle w:val="Bodytext20"/>
              <w:framePr w:w="10248" w:wrap="notBeside" w:vAnchor="text" w:hAnchor="text" w:xAlign="center" w:y="1"/>
              <w:shd w:val="clear" w:color="auto" w:fill="auto"/>
              <w:ind w:firstLine="0"/>
              <w:rPr>
                <w:rFonts w:asciiTheme="minorHAnsi" w:hAnsiTheme="minorHAnsi" w:cstheme="minorHAnsi"/>
                <w:sz w:val="21"/>
                <w:szCs w:val="21"/>
                <w:lang w:val="it-IT"/>
              </w:rPr>
            </w:pPr>
            <w:r w:rsidRPr="00D3751E">
              <w:rPr>
                <w:rFonts w:asciiTheme="minorHAnsi" w:hAnsiTheme="minorHAnsi" w:cstheme="minorHAnsi"/>
                <w:sz w:val="21"/>
                <w:szCs w:val="21"/>
                <w:lang w:val="it-IT"/>
              </w:rPr>
              <w:t>Valoarea totală eligibilă a proiectului, inclusiv TVA eligibil</w:t>
            </w:r>
          </w:p>
        </w:tc>
        <w:tc>
          <w:tcPr>
            <w:tcW w:w="2232" w:type="dxa"/>
            <w:gridSpan w:val="2"/>
            <w:tcBorders>
              <w:top w:val="single" w:sz="4" w:space="0" w:color="auto"/>
              <w:left w:val="single" w:sz="4" w:space="0" w:color="auto"/>
            </w:tcBorders>
            <w:shd w:val="clear" w:color="auto" w:fill="FFFFFF"/>
            <w:vAlign w:val="center"/>
          </w:tcPr>
          <w:p w14:paraId="327592F2" w14:textId="77777777" w:rsidR="00D3751E" w:rsidRPr="00D3751E" w:rsidRDefault="00D3751E" w:rsidP="00623631">
            <w:pPr>
              <w:pStyle w:val="Bodytext20"/>
              <w:framePr w:w="10248" w:wrap="notBeside" w:vAnchor="text" w:hAnchor="text" w:xAlign="center" w:y="1"/>
              <w:shd w:val="clear" w:color="auto" w:fill="auto"/>
              <w:ind w:firstLine="0"/>
              <w:rPr>
                <w:rFonts w:asciiTheme="minorHAnsi" w:hAnsiTheme="minorHAnsi" w:cstheme="minorHAnsi"/>
                <w:sz w:val="21"/>
                <w:szCs w:val="21"/>
                <w:lang w:val="it-IT"/>
              </w:rPr>
            </w:pPr>
            <w:r w:rsidRPr="00D3751E">
              <w:rPr>
                <w:rFonts w:asciiTheme="minorHAnsi" w:hAnsiTheme="minorHAnsi" w:cstheme="minorHAnsi"/>
                <w:sz w:val="21"/>
                <w:szCs w:val="21"/>
                <w:lang w:val="it-IT"/>
              </w:rPr>
              <w:t>Valoarea eligibilă nerambursabilă din partea fondurilor (FEDR/FSE+/FC/FTJ)</w:t>
            </w:r>
          </w:p>
        </w:tc>
        <w:tc>
          <w:tcPr>
            <w:tcW w:w="2218" w:type="dxa"/>
            <w:gridSpan w:val="2"/>
            <w:tcBorders>
              <w:top w:val="single" w:sz="4" w:space="0" w:color="auto"/>
              <w:left w:val="single" w:sz="4" w:space="0" w:color="auto"/>
            </w:tcBorders>
            <w:shd w:val="clear" w:color="auto" w:fill="FFFFFF"/>
            <w:vAlign w:val="center"/>
          </w:tcPr>
          <w:p w14:paraId="63932308" w14:textId="77777777" w:rsidR="00D3751E" w:rsidRPr="00D3751E" w:rsidRDefault="00D3751E" w:rsidP="00623631">
            <w:pPr>
              <w:pStyle w:val="Bodytext20"/>
              <w:framePr w:w="10248" w:wrap="notBeside" w:vAnchor="text" w:hAnchor="text" w:xAlign="center" w:y="1"/>
              <w:shd w:val="clear" w:color="auto" w:fill="auto"/>
              <w:spacing w:line="293" w:lineRule="exact"/>
              <w:ind w:firstLine="0"/>
              <w:rPr>
                <w:rFonts w:asciiTheme="minorHAnsi" w:hAnsiTheme="minorHAnsi" w:cstheme="minorHAnsi"/>
                <w:sz w:val="21"/>
                <w:szCs w:val="21"/>
                <w:lang w:val="it-IT"/>
              </w:rPr>
            </w:pPr>
            <w:r w:rsidRPr="00D3751E">
              <w:rPr>
                <w:rFonts w:asciiTheme="minorHAnsi" w:hAnsiTheme="minorHAnsi" w:cstheme="minorHAnsi"/>
                <w:sz w:val="21"/>
                <w:szCs w:val="21"/>
                <w:lang w:val="it-IT"/>
              </w:rPr>
              <w:t>Valoarea eligibilă nerambursabilă din bugetul naţional</w:t>
            </w:r>
          </w:p>
        </w:tc>
        <w:tc>
          <w:tcPr>
            <w:tcW w:w="2218" w:type="dxa"/>
            <w:gridSpan w:val="2"/>
            <w:tcBorders>
              <w:top w:val="single" w:sz="4" w:space="0" w:color="auto"/>
              <w:left w:val="single" w:sz="4" w:space="0" w:color="auto"/>
            </w:tcBorders>
            <w:shd w:val="clear" w:color="auto" w:fill="FFFFFF"/>
            <w:vAlign w:val="center"/>
          </w:tcPr>
          <w:p w14:paraId="1EB3D0EF" w14:textId="77777777" w:rsidR="00D3751E" w:rsidRPr="00B70D54" w:rsidRDefault="00D3751E" w:rsidP="00623631">
            <w:pPr>
              <w:pStyle w:val="Bodytext20"/>
              <w:framePr w:w="10248" w:wrap="notBeside" w:vAnchor="text" w:hAnchor="text" w:xAlign="center" w:y="1"/>
              <w:shd w:val="clear" w:color="auto" w:fill="auto"/>
              <w:ind w:firstLine="0"/>
              <w:rPr>
                <w:rFonts w:asciiTheme="minorHAnsi" w:hAnsiTheme="minorHAnsi" w:cstheme="minorHAnsi"/>
                <w:sz w:val="21"/>
                <w:szCs w:val="21"/>
              </w:rPr>
            </w:pPr>
            <w:proofErr w:type="spellStart"/>
            <w:r w:rsidRPr="00B70D54">
              <w:rPr>
                <w:rFonts w:asciiTheme="minorHAnsi" w:hAnsiTheme="minorHAnsi" w:cstheme="minorHAnsi"/>
                <w:sz w:val="21"/>
                <w:szCs w:val="21"/>
              </w:rPr>
              <w:t>Valoare</w:t>
            </w:r>
            <w:proofErr w:type="spellEnd"/>
            <w:r w:rsidRPr="00B70D54">
              <w:rPr>
                <w:rFonts w:asciiTheme="minorHAnsi" w:hAnsiTheme="minorHAnsi" w:cstheme="minorHAnsi"/>
                <w:sz w:val="21"/>
                <w:szCs w:val="21"/>
              </w:rPr>
              <w:t xml:space="preserve"> </w:t>
            </w:r>
            <w:proofErr w:type="spellStart"/>
            <w:r w:rsidRPr="00B70D54">
              <w:rPr>
                <w:rFonts w:asciiTheme="minorHAnsi" w:hAnsiTheme="minorHAnsi" w:cstheme="minorHAnsi"/>
                <w:sz w:val="21"/>
                <w:szCs w:val="21"/>
              </w:rPr>
              <w:t>cofinanţare</w:t>
            </w:r>
            <w:proofErr w:type="spellEnd"/>
            <w:r w:rsidRPr="00B70D54">
              <w:rPr>
                <w:rFonts w:asciiTheme="minorHAnsi" w:hAnsiTheme="minorHAnsi" w:cstheme="minorHAnsi"/>
                <w:sz w:val="21"/>
                <w:szCs w:val="21"/>
              </w:rPr>
              <w:t xml:space="preserve"> </w:t>
            </w:r>
            <w:proofErr w:type="spellStart"/>
            <w:r w:rsidRPr="00B70D54">
              <w:rPr>
                <w:rFonts w:asciiTheme="minorHAnsi" w:hAnsiTheme="minorHAnsi" w:cstheme="minorHAnsi"/>
                <w:sz w:val="21"/>
                <w:szCs w:val="21"/>
              </w:rPr>
              <w:t>eligibilă</w:t>
            </w:r>
            <w:proofErr w:type="spellEnd"/>
            <w:r w:rsidRPr="00B70D54">
              <w:rPr>
                <w:rFonts w:asciiTheme="minorHAnsi" w:hAnsiTheme="minorHAnsi" w:cstheme="minorHAnsi"/>
                <w:sz w:val="21"/>
                <w:szCs w:val="21"/>
              </w:rPr>
              <w:t xml:space="preserve"> </w:t>
            </w:r>
            <w:proofErr w:type="spellStart"/>
            <w:r w:rsidRPr="00B70D54">
              <w:rPr>
                <w:rFonts w:asciiTheme="minorHAnsi" w:hAnsiTheme="minorHAnsi" w:cstheme="minorHAnsi"/>
                <w:sz w:val="21"/>
                <w:szCs w:val="21"/>
              </w:rPr>
              <w:t>beneficiar</w:t>
            </w:r>
            <w:proofErr w:type="spellEnd"/>
          </w:p>
        </w:tc>
        <w:tc>
          <w:tcPr>
            <w:tcW w:w="1157" w:type="dxa"/>
            <w:tcBorders>
              <w:top w:val="single" w:sz="4" w:space="0" w:color="auto"/>
              <w:left w:val="single" w:sz="4" w:space="0" w:color="auto"/>
            </w:tcBorders>
            <w:shd w:val="clear" w:color="auto" w:fill="FFFFFF"/>
            <w:vAlign w:val="bottom"/>
          </w:tcPr>
          <w:p w14:paraId="7363314B" w14:textId="77777777" w:rsidR="00D3751E" w:rsidRPr="00B70D54" w:rsidRDefault="00D3751E" w:rsidP="00623631">
            <w:pPr>
              <w:pStyle w:val="Bodytext20"/>
              <w:framePr w:w="10248" w:wrap="notBeside" w:vAnchor="text" w:hAnchor="text" w:xAlign="center" w:y="1"/>
              <w:shd w:val="clear" w:color="auto" w:fill="auto"/>
              <w:ind w:firstLine="0"/>
              <w:rPr>
                <w:rFonts w:asciiTheme="minorHAnsi" w:hAnsiTheme="minorHAnsi" w:cstheme="minorHAnsi"/>
                <w:sz w:val="21"/>
                <w:szCs w:val="21"/>
              </w:rPr>
            </w:pPr>
            <w:proofErr w:type="spellStart"/>
            <w:r w:rsidRPr="00B70D54">
              <w:rPr>
                <w:rFonts w:asciiTheme="minorHAnsi" w:hAnsiTheme="minorHAnsi" w:cstheme="minorHAnsi"/>
                <w:sz w:val="21"/>
                <w:szCs w:val="21"/>
              </w:rPr>
              <w:t>Valoarea</w:t>
            </w:r>
            <w:proofErr w:type="spellEnd"/>
            <w:r w:rsidRPr="00B70D54">
              <w:rPr>
                <w:rFonts w:asciiTheme="minorHAnsi" w:hAnsiTheme="minorHAnsi" w:cstheme="minorHAnsi"/>
                <w:sz w:val="21"/>
                <w:szCs w:val="21"/>
              </w:rPr>
              <w:t xml:space="preserve"> </w:t>
            </w:r>
            <w:proofErr w:type="spellStart"/>
            <w:r w:rsidRPr="00B70D54">
              <w:rPr>
                <w:rFonts w:asciiTheme="minorHAnsi" w:hAnsiTheme="minorHAnsi" w:cstheme="minorHAnsi"/>
                <w:sz w:val="21"/>
                <w:szCs w:val="21"/>
              </w:rPr>
              <w:t>totală</w:t>
            </w:r>
            <w:proofErr w:type="spellEnd"/>
            <w:r w:rsidRPr="00B70D54">
              <w:rPr>
                <w:rFonts w:asciiTheme="minorHAnsi" w:hAnsiTheme="minorHAnsi" w:cstheme="minorHAnsi"/>
                <w:sz w:val="21"/>
                <w:szCs w:val="21"/>
              </w:rPr>
              <w:t xml:space="preserve"> </w:t>
            </w:r>
            <w:proofErr w:type="spellStart"/>
            <w:r w:rsidRPr="00B70D54">
              <w:rPr>
                <w:rFonts w:asciiTheme="minorHAnsi" w:hAnsiTheme="minorHAnsi" w:cstheme="minorHAnsi"/>
                <w:sz w:val="21"/>
                <w:szCs w:val="21"/>
              </w:rPr>
              <w:t>neeligibilă</w:t>
            </w:r>
            <w:proofErr w:type="spellEnd"/>
            <w:r w:rsidRPr="00B70D54">
              <w:rPr>
                <w:rFonts w:asciiTheme="minorHAnsi" w:hAnsiTheme="minorHAnsi" w:cstheme="minorHAnsi"/>
                <w:sz w:val="21"/>
                <w:szCs w:val="21"/>
              </w:rPr>
              <w:t xml:space="preserve"> a </w:t>
            </w:r>
            <w:proofErr w:type="spellStart"/>
            <w:r w:rsidRPr="00B70D54">
              <w:rPr>
                <w:rFonts w:asciiTheme="minorHAnsi" w:hAnsiTheme="minorHAnsi" w:cstheme="minorHAnsi"/>
                <w:sz w:val="21"/>
                <w:szCs w:val="21"/>
              </w:rPr>
              <w:t>proiectului</w:t>
            </w:r>
            <w:proofErr w:type="spellEnd"/>
            <w:r w:rsidRPr="00B70D54">
              <w:rPr>
                <w:rFonts w:asciiTheme="minorHAnsi" w:hAnsiTheme="minorHAnsi" w:cstheme="minorHAnsi"/>
                <w:sz w:val="21"/>
                <w:szCs w:val="21"/>
              </w:rPr>
              <w:t xml:space="preserve">, </w:t>
            </w:r>
            <w:proofErr w:type="spellStart"/>
            <w:r w:rsidRPr="00B70D54">
              <w:rPr>
                <w:rFonts w:asciiTheme="minorHAnsi" w:hAnsiTheme="minorHAnsi" w:cstheme="minorHAnsi"/>
                <w:sz w:val="21"/>
                <w:szCs w:val="21"/>
              </w:rPr>
              <w:t>inclusiv</w:t>
            </w:r>
            <w:proofErr w:type="spellEnd"/>
            <w:r w:rsidRPr="00B70D54">
              <w:rPr>
                <w:rFonts w:asciiTheme="minorHAnsi" w:hAnsiTheme="minorHAnsi" w:cstheme="minorHAnsi"/>
                <w:sz w:val="21"/>
                <w:szCs w:val="21"/>
              </w:rPr>
              <w:t xml:space="preserve"> TVA neeligibil¹</w:t>
            </w:r>
          </w:p>
        </w:tc>
        <w:tc>
          <w:tcPr>
            <w:tcW w:w="1243" w:type="dxa"/>
            <w:tcBorders>
              <w:top w:val="single" w:sz="4" w:space="0" w:color="auto"/>
              <w:left w:val="single" w:sz="4" w:space="0" w:color="auto"/>
              <w:right w:val="single" w:sz="4" w:space="0" w:color="auto"/>
            </w:tcBorders>
            <w:shd w:val="clear" w:color="auto" w:fill="FFFFFF"/>
            <w:vAlign w:val="center"/>
          </w:tcPr>
          <w:p w14:paraId="3F670D99" w14:textId="77777777" w:rsidR="00D3751E" w:rsidRPr="00B70D54" w:rsidRDefault="00D3751E" w:rsidP="00623631">
            <w:pPr>
              <w:pStyle w:val="Bodytext20"/>
              <w:framePr w:w="10248" w:wrap="notBeside" w:vAnchor="text" w:hAnchor="text" w:xAlign="center" w:y="1"/>
              <w:shd w:val="clear" w:color="auto" w:fill="auto"/>
              <w:spacing w:line="293" w:lineRule="exact"/>
              <w:ind w:firstLine="0"/>
              <w:rPr>
                <w:rFonts w:asciiTheme="minorHAnsi" w:hAnsiTheme="minorHAnsi" w:cstheme="minorHAnsi"/>
                <w:sz w:val="21"/>
                <w:szCs w:val="21"/>
              </w:rPr>
            </w:pPr>
            <w:proofErr w:type="spellStart"/>
            <w:r w:rsidRPr="00B70D54">
              <w:rPr>
                <w:rFonts w:asciiTheme="minorHAnsi" w:hAnsiTheme="minorHAnsi" w:cstheme="minorHAnsi"/>
                <w:sz w:val="21"/>
                <w:szCs w:val="21"/>
              </w:rPr>
              <w:t>Valoarea</w:t>
            </w:r>
            <w:proofErr w:type="spellEnd"/>
            <w:r w:rsidRPr="00B70D54">
              <w:rPr>
                <w:rFonts w:asciiTheme="minorHAnsi" w:hAnsiTheme="minorHAnsi" w:cstheme="minorHAnsi"/>
                <w:sz w:val="21"/>
                <w:szCs w:val="21"/>
              </w:rPr>
              <w:t xml:space="preserve"> </w:t>
            </w:r>
            <w:proofErr w:type="spellStart"/>
            <w:r w:rsidRPr="00B70D54">
              <w:rPr>
                <w:rFonts w:asciiTheme="minorHAnsi" w:hAnsiTheme="minorHAnsi" w:cstheme="minorHAnsi"/>
                <w:sz w:val="21"/>
                <w:szCs w:val="21"/>
              </w:rPr>
              <w:t>totală</w:t>
            </w:r>
            <w:proofErr w:type="spellEnd"/>
            <w:r w:rsidRPr="00B70D54">
              <w:rPr>
                <w:rFonts w:asciiTheme="minorHAnsi" w:hAnsiTheme="minorHAnsi" w:cstheme="minorHAnsi"/>
                <w:sz w:val="21"/>
                <w:szCs w:val="21"/>
              </w:rPr>
              <w:t xml:space="preserve"> a </w:t>
            </w:r>
            <w:proofErr w:type="spellStart"/>
            <w:r w:rsidRPr="00B70D54">
              <w:rPr>
                <w:rFonts w:asciiTheme="minorHAnsi" w:hAnsiTheme="minorHAnsi" w:cstheme="minorHAnsi"/>
                <w:sz w:val="21"/>
                <w:szCs w:val="21"/>
              </w:rPr>
              <w:t>proiectului</w:t>
            </w:r>
            <w:proofErr w:type="spellEnd"/>
          </w:p>
        </w:tc>
      </w:tr>
      <w:tr w:rsidR="00D3751E" w:rsidRPr="00B70D54" w14:paraId="5801DF4D" w14:textId="77777777" w:rsidTr="00623631">
        <w:trPr>
          <w:trHeight w:hRule="exact" w:val="379"/>
          <w:jc w:val="center"/>
        </w:trPr>
        <w:tc>
          <w:tcPr>
            <w:tcW w:w="1181" w:type="dxa"/>
            <w:tcBorders>
              <w:top w:val="single" w:sz="4" w:space="0" w:color="auto"/>
              <w:left w:val="single" w:sz="4" w:space="0" w:color="auto"/>
            </w:tcBorders>
            <w:shd w:val="clear" w:color="auto" w:fill="FFFFFF"/>
            <w:vAlign w:val="bottom"/>
          </w:tcPr>
          <w:p w14:paraId="52CFE772" w14:textId="77777777" w:rsidR="00D3751E" w:rsidRPr="00B70D54" w:rsidRDefault="00D3751E" w:rsidP="00623631">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70D54">
              <w:rPr>
                <w:rFonts w:asciiTheme="minorHAnsi" w:hAnsiTheme="minorHAnsi" w:cstheme="minorHAnsi"/>
                <w:sz w:val="21"/>
                <w:szCs w:val="21"/>
              </w:rPr>
              <w:t>(lei)</w:t>
            </w:r>
          </w:p>
        </w:tc>
        <w:tc>
          <w:tcPr>
            <w:tcW w:w="1138" w:type="dxa"/>
            <w:tcBorders>
              <w:top w:val="single" w:sz="4" w:space="0" w:color="auto"/>
              <w:left w:val="single" w:sz="4" w:space="0" w:color="auto"/>
            </w:tcBorders>
            <w:shd w:val="clear" w:color="auto" w:fill="FFFFFF"/>
            <w:vAlign w:val="bottom"/>
          </w:tcPr>
          <w:p w14:paraId="0CEEDA42" w14:textId="77777777" w:rsidR="00D3751E" w:rsidRPr="00B70D54" w:rsidRDefault="00D3751E" w:rsidP="00623631">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70D54">
              <w:rPr>
                <w:rFonts w:asciiTheme="minorHAnsi" w:hAnsiTheme="minorHAnsi" w:cstheme="minorHAnsi"/>
                <w:sz w:val="21"/>
                <w:szCs w:val="21"/>
              </w:rPr>
              <w:t>(lei)</w:t>
            </w:r>
          </w:p>
        </w:tc>
        <w:tc>
          <w:tcPr>
            <w:tcW w:w="1094" w:type="dxa"/>
            <w:tcBorders>
              <w:top w:val="single" w:sz="4" w:space="0" w:color="auto"/>
              <w:left w:val="single" w:sz="4" w:space="0" w:color="auto"/>
            </w:tcBorders>
            <w:shd w:val="clear" w:color="auto" w:fill="FFFFFF"/>
            <w:vAlign w:val="bottom"/>
          </w:tcPr>
          <w:p w14:paraId="4237C149" w14:textId="77777777" w:rsidR="00D3751E" w:rsidRPr="00B70D54" w:rsidRDefault="00D3751E" w:rsidP="00623631">
            <w:pPr>
              <w:pStyle w:val="Bodytext20"/>
              <w:framePr w:w="10248" w:wrap="notBeside" w:vAnchor="text" w:hAnchor="text" w:xAlign="center" w:y="1"/>
              <w:shd w:val="clear" w:color="auto" w:fill="auto"/>
              <w:spacing w:line="244" w:lineRule="exact"/>
              <w:ind w:left="400" w:firstLine="0"/>
              <w:jc w:val="left"/>
              <w:rPr>
                <w:rFonts w:asciiTheme="minorHAnsi" w:hAnsiTheme="minorHAnsi" w:cstheme="minorHAnsi"/>
                <w:sz w:val="21"/>
                <w:szCs w:val="21"/>
              </w:rPr>
            </w:pPr>
            <w:r w:rsidRPr="00B70D54">
              <w:rPr>
                <w:rFonts w:asciiTheme="minorHAnsi" w:hAnsiTheme="minorHAnsi" w:cstheme="minorHAnsi"/>
                <w:sz w:val="21"/>
                <w:szCs w:val="21"/>
              </w:rPr>
              <w:t>(%)</w:t>
            </w:r>
          </w:p>
        </w:tc>
        <w:tc>
          <w:tcPr>
            <w:tcW w:w="1109" w:type="dxa"/>
            <w:tcBorders>
              <w:top w:val="single" w:sz="4" w:space="0" w:color="auto"/>
              <w:left w:val="single" w:sz="4" w:space="0" w:color="auto"/>
            </w:tcBorders>
            <w:shd w:val="clear" w:color="auto" w:fill="FFFFFF"/>
            <w:vAlign w:val="bottom"/>
          </w:tcPr>
          <w:p w14:paraId="6FFEE6E8" w14:textId="77777777" w:rsidR="00D3751E" w:rsidRPr="00B70D54" w:rsidRDefault="00D3751E" w:rsidP="00623631">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70D54">
              <w:rPr>
                <w:rFonts w:asciiTheme="minorHAnsi" w:hAnsiTheme="minorHAnsi" w:cstheme="minorHAnsi"/>
                <w:sz w:val="21"/>
                <w:szCs w:val="21"/>
              </w:rPr>
              <w:t>(lei)</w:t>
            </w:r>
          </w:p>
        </w:tc>
        <w:tc>
          <w:tcPr>
            <w:tcW w:w="1109" w:type="dxa"/>
            <w:tcBorders>
              <w:top w:val="single" w:sz="4" w:space="0" w:color="auto"/>
              <w:left w:val="single" w:sz="4" w:space="0" w:color="auto"/>
            </w:tcBorders>
            <w:shd w:val="clear" w:color="auto" w:fill="FFFFFF"/>
            <w:vAlign w:val="bottom"/>
          </w:tcPr>
          <w:p w14:paraId="20ED46DF" w14:textId="77777777" w:rsidR="00D3751E" w:rsidRPr="00B70D54" w:rsidRDefault="00D3751E" w:rsidP="00623631">
            <w:pPr>
              <w:pStyle w:val="Bodytext20"/>
              <w:framePr w:w="10248" w:wrap="notBeside" w:vAnchor="text" w:hAnchor="text" w:xAlign="center" w:y="1"/>
              <w:shd w:val="clear" w:color="auto" w:fill="auto"/>
              <w:spacing w:line="244" w:lineRule="exact"/>
              <w:ind w:left="420" w:firstLine="0"/>
              <w:jc w:val="left"/>
              <w:rPr>
                <w:rFonts w:asciiTheme="minorHAnsi" w:hAnsiTheme="minorHAnsi" w:cstheme="minorHAnsi"/>
                <w:sz w:val="21"/>
                <w:szCs w:val="21"/>
              </w:rPr>
            </w:pPr>
            <w:r w:rsidRPr="00B70D54">
              <w:rPr>
                <w:rFonts w:asciiTheme="minorHAnsi" w:hAnsiTheme="minorHAnsi" w:cstheme="minorHAnsi"/>
                <w:sz w:val="21"/>
                <w:szCs w:val="21"/>
              </w:rPr>
              <w:t>(%)</w:t>
            </w:r>
          </w:p>
        </w:tc>
        <w:tc>
          <w:tcPr>
            <w:tcW w:w="1109" w:type="dxa"/>
            <w:tcBorders>
              <w:top w:val="single" w:sz="4" w:space="0" w:color="auto"/>
              <w:left w:val="single" w:sz="4" w:space="0" w:color="auto"/>
            </w:tcBorders>
            <w:shd w:val="clear" w:color="auto" w:fill="FFFFFF"/>
            <w:vAlign w:val="bottom"/>
          </w:tcPr>
          <w:p w14:paraId="49C4A4C4" w14:textId="77777777" w:rsidR="00D3751E" w:rsidRPr="00B70D54" w:rsidRDefault="00D3751E" w:rsidP="00623631">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70D54">
              <w:rPr>
                <w:rFonts w:asciiTheme="minorHAnsi" w:hAnsiTheme="minorHAnsi" w:cstheme="minorHAnsi"/>
                <w:sz w:val="21"/>
                <w:szCs w:val="21"/>
              </w:rPr>
              <w:t>(lei)</w:t>
            </w:r>
          </w:p>
        </w:tc>
        <w:tc>
          <w:tcPr>
            <w:tcW w:w="1109" w:type="dxa"/>
            <w:tcBorders>
              <w:top w:val="single" w:sz="4" w:space="0" w:color="auto"/>
              <w:left w:val="single" w:sz="4" w:space="0" w:color="auto"/>
            </w:tcBorders>
            <w:shd w:val="clear" w:color="auto" w:fill="FFFFFF"/>
            <w:vAlign w:val="bottom"/>
          </w:tcPr>
          <w:p w14:paraId="17F1BF2F" w14:textId="77777777" w:rsidR="00D3751E" w:rsidRPr="00B70D54" w:rsidRDefault="00D3751E" w:rsidP="00623631">
            <w:pPr>
              <w:pStyle w:val="Bodytext20"/>
              <w:framePr w:w="10248" w:wrap="notBeside" w:vAnchor="text" w:hAnchor="text" w:xAlign="center" w:y="1"/>
              <w:shd w:val="clear" w:color="auto" w:fill="auto"/>
              <w:spacing w:line="244" w:lineRule="exact"/>
              <w:ind w:left="420" w:firstLine="0"/>
              <w:jc w:val="left"/>
              <w:rPr>
                <w:rFonts w:asciiTheme="minorHAnsi" w:hAnsiTheme="minorHAnsi" w:cstheme="minorHAnsi"/>
                <w:sz w:val="21"/>
                <w:szCs w:val="21"/>
              </w:rPr>
            </w:pPr>
            <w:r w:rsidRPr="00B70D54">
              <w:rPr>
                <w:rFonts w:asciiTheme="minorHAnsi" w:hAnsiTheme="minorHAnsi" w:cstheme="minorHAnsi"/>
                <w:sz w:val="21"/>
                <w:szCs w:val="21"/>
              </w:rPr>
              <w:t>(%)</w:t>
            </w:r>
          </w:p>
        </w:tc>
        <w:tc>
          <w:tcPr>
            <w:tcW w:w="1157" w:type="dxa"/>
            <w:tcBorders>
              <w:top w:val="single" w:sz="4" w:space="0" w:color="auto"/>
              <w:left w:val="single" w:sz="4" w:space="0" w:color="auto"/>
            </w:tcBorders>
            <w:shd w:val="clear" w:color="auto" w:fill="FFFFFF"/>
            <w:vAlign w:val="bottom"/>
          </w:tcPr>
          <w:p w14:paraId="30402898" w14:textId="77777777" w:rsidR="00D3751E" w:rsidRPr="00B70D54" w:rsidRDefault="00D3751E" w:rsidP="00623631">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70D54">
              <w:rPr>
                <w:rFonts w:asciiTheme="minorHAnsi" w:hAnsiTheme="minorHAnsi" w:cstheme="minorHAnsi"/>
                <w:sz w:val="21"/>
                <w:szCs w:val="21"/>
              </w:rPr>
              <w:t>(lei)</w:t>
            </w:r>
          </w:p>
        </w:tc>
        <w:tc>
          <w:tcPr>
            <w:tcW w:w="1243" w:type="dxa"/>
            <w:tcBorders>
              <w:top w:val="single" w:sz="4" w:space="0" w:color="auto"/>
              <w:left w:val="single" w:sz="4" w:space="0" w:color="auto"/>
              <w:right w:val="single" w:sz="4" w:space="0" w:color="auto"/>
            </w:tcBorders>
            <w:shd w:val="clear" w:color="auto" w:fill="FFFFFF"/>
            <w:vAlign w:val="bottom"/>
          </w:tcPr>
          <w:p w14:paraId="286223BD" w14:textId="77777777" w:rsidR="00D3751E" w:rsidRPr="00B70D54" w:rsidRDefault="00D3751E" w:rsidP="00623631">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70D54">
              <w:rPr>
                <w:rFonts w:asciiTheme="minorHAnsi" w:hAnsiTheme="minorHAnsi" w:cstheme="minorHAnsi"/>
                <w:sz w:val="21"/>
                <w:szCs w:val="21"/>
              </w:rPr>
              <w:t>(lei)</w:t>
            </w:r>
          </w:p>
        </w:tc>
      </w:tr>
      <w:tr w:rsidR="00D3751E" w:rsidRPr="00C30D81" w14:paraId="4E6530AD" w14:textId="77777777" w:rsidTr="00623631">
        <w:trPr>
          <w:trHeight w:hRule="exact" w:val="672"/>
          <w:jc w:val="center"/>
        </w:trPr>
        <w:tc>
          <w:tcPr>
            <w:tcW w:w="1181" w:type="dxa"/>
            <w:tcBorders>
              <w:top w:val="single" w:sz="4" w:space="0" w:color="auto"/>
              <w:left w:val="single" w:sz="4" w:space="0" w:color="auto"/>
            </w:tcBorders>
            <w:shd w:val="clear" w:color="auto" w:fill="FFFFFF"/>
            <w:vAlign w:val="center"/>
          </w:tcPr>
          <w:p w14:paraId="5AE07E6A" w14:textId="77777777" w:rsidR="00D3751E" w:rsidRPr="00B70D54" w:rsidRDefault="00D3751E" w:rsidP="00623631">
            <w:pPr>
              <w:pStyle w:val="Bodytext20"/>
              <w:framePr w:w="10248" w:wrap="notBeside" w:vAnchor="text" w:hAnchor="text" w:xAlign="center" w:y="1"/>
              <w:shd w:val="clear" w:color="auto" w:fill="auto"/>
              <w:spacing w:line="298" w:lineRule="exact"/>
              <w:ind w:firstLine="0"/>
              <w:rPr>
                <w:rFonts w:asciiTheme="minorHAnsi" w:hAnsiTheme="minorHAnsi" w:cstheme="minorHAnsi"/>
                <w:sz w:val="21"/>
                <w:szCs w:val="21"/>
              </w:rPr>
            </w:pPr>
            <w:r w:rsidRPr="00B70D54">
              <w:rPr>
                <w:rFonts w:asciiTheme="minorHAnsi" w:hAnsiTheme="minorHAnsi" w:cstheme="minorHAnsi"/>
                <w:sz w:val="21"/>
                <w:szCs w:val="21"/>
              </w:rPr>
              <w:t>1=2 + 3+4</w:t>
            </w:r>
          </w:p>
        </w:tc>
        <w:tc>
          <w:tcPr>
            <w:tcW w:w="1138" w:type="dxa"/>
            <w:tcBorders>
              <w:top w:val="single" w:sz="4" w:space="0" w:color="auto"/>
              <w:left w:val="single" w:sz="4" w:space="0" w:color="auto"/>
            </w:tcBorders>
            <w:shd w:val="clear" w:color="auto" w:fill="FFFFFF"/>
            <w:vAlign w:val="center"/>
          </w:tcPr>
          <w:p w14:paraId="715E827E" w14:textId="77777777" w:rsidR="00D3751E" w:rsidRPr="00B70D54" w:rsidRDefault="00D3751E" w:rsidP="00623631">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70D54">
              <w:rPr>
                <w:rFonts w:asciiTheme="minorHAnsi" w:hAnsiTheme="minorHAnsi" w:cstheme="minorHAnsi"/>
                <w:sz w:val="21"/>
                <w:szCs w:val="21"/>
              </w:rPr>
              <w:t>2</w:t>
            </w:r>
          </w:p>
        </w:tc>
        <w:tc>
          <w:tcPr>
            <w:tcW w:w="1094" w:type="dxa"/>
            <w:tcBorders>
              <w:top w:val="single" w:sz="4" w:space="0" w:color="auto"/>
              <w:left w:val="single" w:sz="4" w:space="0" w:color="auto"/>
            </w:tcBorders>
            <w:shd w:val="clear" w:color="auto" w:fill="FFFFFF"/>
            <w:vAlign w:val="center"/>
          </w:tcPr>
          <w:p w14:paraId="51C121BF" w14:textId="77777777" w:rsidR="00D3751E" w:rsidRPr="00B70D54" w:rsidRDefault="00D3751E" w:rsidP="00623631">
            <w:pPr>
              <w:pStyle w:val="Bodytext20"/>
              <w:framePr w:w="10248" w:wrap="notBeside" w:vAnchor="text" w:hAnchor="text" w:xAlign="center" w:y="1"/>
              <w:shd w:val="clear" w:color="auto" w:fill="auto"/>
              <w:spacing w:line="244" w:lineRule="exact"/>
              <w:ind w:left="400" w:firstLine="0"/>
              <w:jc w:val="left"/>
              <w:rPr>
                <w:rFonts w:asciiTheme="minorHAnsi" w:hAnsiTheme="minorHAnsi" w:cstheme="minorHAnsi"/>
                <w:sz w:val="21"/>
                <w:szCs w:val="21"/>
              </w:rPr>
            </w:pPr>
          </w:p>
        </w:tc>
        <w:tc>
          <w:tcPr>
            <w:tcW w:w="1109" w:type="dxa"/>
            <w:tcBorders>
              <w:top w:val="single" w:sz="4" w:space="0" w:color="auto"/>
              <w:left w:val="single" w:sz="4" w:space="0" w:color="auto"/>
            </w:tcBorders>
            <w:shd w:val="clear" w:color="auto" w:fill="FFFFFF"/>
            <w:vAlign w:val="center"/>
          </w:tcPr>
          <w:p w14:paraId="79386D88" w14:textId="77777777" w:rsidR="00D3751E" w:rsidRPr="00B70D54" w:rsidRDefault="00D3751E" w:rsidP="00623631">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70D54">
              <w:rPr>
                <w:rFonts w:asciiTheme="minorHAnsi" w:hAnsiTheme="minorHAnsi" w:cstheme="minorHAnsi"/>
                <w:sz w:val="21"/>
                <w:szCs w:val="21"/>
              </w:rPr>
              <w:t>3</w:t>
            </w:r>
          </w:p>
        </w:tc>
        <w:tc>
          <w:tcPr>
            <w:tcW w:w="1109" w:type="dxa"/>
            <w:tcBorders>
              <w:top w:val="single" w:sz="4" w:space="0" w:color="auto"/>
              <w:left w:val="single" w:sz="4" w:space="0" w:color="auto"/>
            </w:tcBorders>
            <w:shd w:val="clear" w:color="auto" w:fill="FFFFFF"/>
            <w:vAlign w:val="center"/>
          </w:tcPr>
          <w:p w14:paraId="04CEEFBF" w14:textId="77777777" w:rsidR="00D3751E" w:rsidRPr="00B70D54" w:rsidRDefault="00D3751E" w:rsidP="00623631">
            <w:pPr>
              <w:pStyle w:val="Bodytext20"/>
              <w:framePr w:w="10248" w:wrap="notBeside" w:vAnchor="text" w:hAnchor="text" w:xAlign="center" w:y="1"/>
              <w:shd w:val="clear" w:color="auto" w:fill="auto"/>
              <w:spacing w:line="244" w:lineRule="exact"/>
              <w:ind w:left="420" w:firstLine="0"/>
              <w:jc w:val="left"/>
              <w:rPr>
                <w:rFonts w:asciiTheme="minorHAnsi" w:hAnsiTheme="minorHAnsi" w:cstheme="minorHAnsi"/>
                <w:sz w:val="21"/>
                <w:szCs w:val="21"/>
              </w:rPr>
            </w:pPr>
          </w:p>
        </w:tc>
        <w:tc>
          <w:tcPr>
            <w:tcW w:w="1109" w:type="dxa"/>
            <w:tcBorders>
              <w:top w:val="single" w:sz="4" w:space="0" w:color="auto"/>
              <w:left w:val="single" w:sz="4" w:space="0" w:color="auto"/>
            </w:tcBorders>
            <w:shd w:val="clear" w:color="auto" w:fill="FFFFFF"/>
            <w:vAlign w:val="center"/>
          </w:tcPr>
          <w:p w14:paraId="11D03740" w14:textId="77777777" w:rsidR="00D3751E" w:rsidRPr="00B70D54" w:rsidRDefault="00D3751E" w:rsidP="00623631">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70D54">
              <w:rPr>
                <w:rFonts w:asciiTheme="minorHAnsi" w:hAnsiTheme="minorHAnsi" w:cstheme="minorHAnsi"/>
                <w:sz w:val="21"/>
                <w:szCs w:val="21"/>
              </w:rPr>
              <w:t>4</w:t>
            </w:r>
          </w:p>
        </w:tc>
        <w:tc>
          <w:tcPr>
            <w:tcW w:w="1109" w:type="dxa"/>
            <w:tcBorders>
              <w:top w:val="single" w:sz="4" w:space="0" w:color="auto"/>
              <w:left w:val="single" w:sz="4" w:space="0" w:color="auto"/>
            </w:tcBorders>
            <w:shd w:val="clear" w:color="auto" w:fill="FFFFFF"/>
            <w:vAlign w:val="center"/>
          </w:tcPr>
          <w:p w14:paraId="7BE442F3" w14:textId="77777777" w:rsidR="00D3751E" w:rsidRPr="00B70D54" w:rsidRDefault="00D3751E" w:rsidP="00623631">
            <w:pPr>
              <w:pStyle w:val="Bodytext20"/>
              <w:framePr w:w="10248" w:wrap="notBeside" w:vAnchor="text" w:hAnchor="text" w:xAlign="center" w:y="1"/>
              <w:shd w:val="clear" w:color="auto" w:fill="auto"/>
              <w:spacing w:line="244" w:lineRule="exact"/>
              <w:ind w:left="420" w:firstLine="0"/>
              <w:jc w:val="left"/>
              <w:rPr>
                <w:rFonts w:asciiTheme="minorHAnsi" w:hAnsiTheme="minorHAnsi" w:cstheme="minorHAnsi"/>
                <w:sz w:val="21"/>
                <w:szCs w:val="21"/>
              </w:rPr>
            </w:pPr>
          </w:p>
        </w:tc>
        <w:tc>
          <w:tcPr>
            <w:tcW w:w="1157" w:type="dxa"/>
            <w:tcBorders>
              <w:top w:val="single" w:sz="4" w:space="0" w:color="auto"/>
              <w:left w:val="single" w:sz="4" w:space="0" w:color="auto"/>
            </w:tcBorders>
            <w:shd w:val="clear" w:color="auto" w:fill="FFFFFF"/>
            <w:vAlign w:val="center"/>
          </w:tcPr>
          <w:p w14:paraId="7EE96706" w14:textId="77777777" w:rsidR="00D3751E" w:rsidRPr="00B70D54" w:rsidRDefault="00D3751E" w:rsidP="00623631">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70D54">
              <w:rPr>
                <w:rFonts w:asciiTheme="minorHAnsi" w:hAnsiTheme="minorHAnsi" w:cstheme="minorHAnsi"/>
                <w:sz w:val="21"/>
                <w:szCs w:val="21"/>
              </w:rPr>
              <w:t>5</w:t>
            </w:r>
          </w:p>
        </w:tc>
        <w:tc>
          <w:tcPr>
            <w:tcW w:w="1243" w:type="dxa"/>
            <w:tcBorders>
              <w:top w:val="single" w:sz="4" w:space="0" w:color="auto"/>
              <w:left w:val="single" w:sz="4" w:space="0" w:color="auto"/>
              <w:right w:val="single" w:sz="4" w:space="0" w:color="auto"/>
            </w:tcBorders>
            <w:shd w:val="clear" w:color="auto" w:fill="FFFFFF"/>
            <w:vAlign w:val="center"/>
          </w:tcPr>
          <w:p w14:paraId="5B225008" w14:textId="77777777" w:rsidR="00D3751E" w:rsidRPr="00C30D81" w:rsidRDefault="00D3751E" w:rsidP="00623631">
            <w:pPr>
              <w:pStyle w:val="Bodytext20"/>
              <w:framePr w:w="10248" w:wrap="notBeside" w:vAnchor="text" w:hAnchor="text" w:xAlign="center" w:y="1"/>
              <w:shd w:val="clear" w:color="auto" w:fill="auto"/>
              <w:spacing w:line="244" w:lineRule="exact"/>
              <w:ind w:left="220" w:firstLine="0"/>
              <w:jc w:val="left"/>
              <w:rPr>
                <w:rFonts w:asciiTheme="minorHAnsi" w:hAnsiTheme="minorHAnsi" w:cstheme="minorHAnsi"/>
                <w:sz w:val="21"/>
                <w:szCs w:val="21"/>
              </w:rPr>
            </w:pPr>
            <w:r w:rsidRPr="00B70D54">
              <w:rPr>
                <w:rFonts w:asciiTheme="minorHAnsi" w:hAnsiTheme="minorHAnsi" w:cstheme="minorHAnsi"/>
                <w:sz w:val="21"/>
                <w:szCs w:val="21"/>
              </w:rPr>
              <w:t>6 = 1 + 5</w:t>
            </w:r>
          </w:p>
        </w:tc>
      </w:tr>
      <w:tr w:rsidR="00D3751E" w:rsidRPr="00C30D81" w14:paraId="20009904" w14:textId="77777777" w:rsidTr="00623631">
        <w:trPr>
          <w:trHeight w:hRule="exact" w:val="413"/>
          <w:jc w:val="center"/>
        </w:trPr>
        <w:tc>
          <w:tcPr>
            <w:tcW w:w="1181" w:type="dxa"/>
            <w:tcBorders>
              <w:top w:val="single" w:sz="4" w:space="0" w:color="auto"/>
              <w:left w:val="single" w:sz="4" w:space="0" w:color="auto"/>
              <w:bottom w:val="single" w:sz="4" w:space="0" w:color="auto"/>
            </w:tcBorders>
            <w:shd w:val="clear" w:color="auto" w:fill="FFFFFF"/>
          </w:tcPr>
          <w:p w14:paraId="1B093AA9" w14:textId="77777777" w:rsidR="00D3751E" w:rsidRPr="00C30D81" w:rsidRDefault="00D3751E" w:rsidP="00623631">
            <w:pPr>
              <w:framePr w:w="10248" w:wrap="notBeside" w:vAnchor="text" w:hAnchor="text" w:xAlign="center" w:y="1"/>
              <w:rPr>
                <w:rFonts w:asciiTheme="minorHAnsi" w:hAnsiTheme="minorHAnsi" w:cstheme="minorHAnsi"/>
                <w:sz w:val="21"/>
                <w:szCs w:val="21"/>
              </w:rPr>
            </w:pPr>
          </w:p>
        </w:tc>
        <w:tc>
          <w:tcPr>
            <w:tcW w:w="1138" w:type="dxa"/>
            <w:tcBorders>
              <w:top w:val="single" w:sz="4" w:space="0" w:color="auto"/>
              <w:left w:val="single" w:sz="4" w:space="0" w:color="auto"/>
              <w:bottom w:val="single" w:sz="4" w:space="0" w:color="auto"/>
            </w:tcBorders>
            <w:shd w:val="clear" w:color="auto" w:fill="FFFFFF"/>
          </w:tcPr>
          <w:p w14:paraId="4C1C28C1" w14:textId="77777777" w:rsidR="00D3751E" w:rsidRPr="00C30D81" w:rsidRDefault="00D3751E" w:rsidP="00623631">
            <w:pPr>
              <w:framePr w:w="10248" w:wrap="notBeside" w:vAnchor="text" w:hAnchor="text" w:xAlign="center" w:y="1"/>
              <w:rPr>
                <w:rFonts w:asciiTheme="minorHAnsi" w:hAnsiTheme="minorHAnsi" w:cstheme="minorHAnsi"/>
                <w:sz w:val="21"/>
                <w:szCs w:val="21"/>
              </w:rPr>
            </w:pPr>
          </w:p>
        </w:tc>
        <w:tc>
          <w:tcPr>
            <w:tcW w:w="1094" w:type="dxa"/>
            <w:tcBorders>
              <w:top w:val="single" w:sz="4" w:space="0" w:color="auto"/>
              <w:left w:val="single" w:sz="4" w:space="0" w:color="auto"/>
              <w:bottom w:val="single" w:sz="4" w:space="0" w:color="auto"/>
            </w:tcBorders>
            <w:shd w:val="clear" w:color="auto" w:fill="FFFFFF"/>
          </w:tcPr>
          <w:p w14:paraId="6F545944" w14:textId="77777777" w:rsidR="00D3751E" w:rsidRPr="00C30D81" w:rsidRDefault="00D3751E" w:rsidP="00623631">
            <w:pPr>
              <w:framePr w:w="10248" w:wrap="notBeside" w:vAnchor="text" w:hAnchor="text" w:xAlign="center" w:y="1"/>
              <w:rPr>
                <w:rFonts w:asciiTheme="minorHAnsi" w:hAnsiTheme="minorHAnsi" w:cstheme="minorHAnsi"/>
                <w:sz w:val="21"/>
                <w:szCs w:val="21"/>
              </w:rPr>
            </w:pPr>
          </w:p>
        </w:tc>
        <w:tc>
          <w:tcPr>
            <w:tcW w:w="1109" w:type="dxa"/>
            <w:tcBorders>
              <w:top w:val="single" w:sz="4" w:space="0" w:color="auto"/>
              <w:left w:val="single" w:sz="4" w:space="0" w:color="auto"/>
              <w:bottom w:val="single" w:sz="4" w:space="0" w:color="auto"/>
            </w:tcBorders>
            <w:shd w:val="clear" w:color="auto" w:fill="FFFFFF"/>
          </w:tcPr>
          <w:p w14:paraId="11F167CA" w14:textId="77777777" w:rsidR="00D3751E" w:rsidRPr="00C30D81" w:rsidRDefault="00D3751E" w:rsidP="00623631">
            <w:pPr>
              <w:framePr w:w="10248" w:wrap="notBeside" w:vAnchor="text" w:hAnchor="text" w:xAlign="center" w:y="1"/>
              <w:rPr>
                <w:rFonts w:asciiTheme="minorHAnsi" w:hAnsiTheme="minorHAnsi" w:cstheme="minorHAnsi"/>
                <w:sz w:val="21"/>
                <w:szCs w:val="21"/>
              </w:rPr>
            </w:pPr>
          </w:p>
        </w:tc>
        <w:tc>
          <w:tcPr>
            <w:tcW w:w="1109" w:type="dxa"/>
            <w:tcBorders>
              <w:top w:val="single" w:sz="4" w:space="0" w:color="auto"/>
              <w:left w:val="single" w:sz="4" w:space="0" w:color="auto"/>
              <w:bottom w:val="single" w:sz="4" w:space="0" w:color="auto"/>
            </w:tcBorders>
            <w:shd w:val="clear" w:color="auto" w:fill="FFFFFF"/>
          </w:tcPr>
          <w:p w14:paraId="75275B04" w14:textId="77777777" w:rsidR="00D3751E" w:rsidRPr="00C30D81" w:rsidRDefault="00D3751E" w:rsidP="00623631">
            <w:pPr>
              <w:framePr w:w="10248" w:wrap="notBeside" w:vAnchor="text" w:hAnchor="text" w:xAlign="center" w:y="1"/>
              <w:rPr>
                <w:rFonts w:asciiTheme="minorHAnsi" w:hAnsiTheme="minorHAnsi" w:cstheme="minorHAnsi"/>
                <w:sz w:val="21"/>
                <w:szCs w:val="21"/>
              </w:rPr>
            </w:pPr>
          </w:p>
        </w:tc>
        <w:tc>
          <w:tcPr>
            <w:tcW w:w="1109" w:type="dxa"/>
            <w:tcBorders>
              <w:top w:val="single" w:sz="4" w:space="0" w:color="auto"/>
              <w:left w:val="single" w:sz="4" w:space="0" w:color="auto"/>
              <w:bottom w:val="single" w:sz="4" w:space="0" w:color="auto"/>
            </w:tcBorders>
            <w:shd w:val="clear" w:color="auto" w:fill="FFFFFF"/>
          </w:tcPr>
          <w:p w14:paraId="01DB8FDC" w14:textId="77777777" w:rsidR="00D3751E" w:rsidRPr="00C30D81" w:rsidRDefault="00D3751E" w:rsidP="00623631">
            <w:pPr>
              <w:framePr w:w="10248" w:wrap="notBeside" w:vAnchor="text" w:hAnchor="text" w:xAlign="center" w:y="1"/>
              <w:rPr>
                <w:rFonts w:asciiTheme="minorHAnsi" w:hAnsiTheme="minorHAnsi" w:cstheme="minorHAnsi"/>
                <w:sz w:val="21"/>
                <w:szCs w:val="21"/>
              </w:rPr>
            </w:pPr>
          </w:p>
        </w:tc>
        <w:tc>
          <w:tcPr>
            <w:tcW w:w="1109" w:type="dxa"/>
            <w:tcBorders>
              <w:top w:val="single" w:sz="4" w:space="0" w:color="auto"/>
              <w:left w:val="single" w:sz="4" w:space="0" w:color="auto"/>
              <w:bottom w:val="single" w:sz="4" w:space="0" w:color="auto"/>
            </w:tcBorders>
            <w:shd w:val="clear" w:color="auto" w:fill="FFFFFF"/>
          </w:tcPr>
          <w:p w14:paraId="5F2A9182" w14:textId="77777777" w:rsidR="00D3751E" w:rsidRPr="00C30D81" w:rsidRDefault="00D3751E" w:rsidP="00623631">
            <w:pPr>
              <w:framePr w:w="10248" w:wrap="notBeside" w:vAnchor="text" w:hAnchor="text" w:xAlign="center" w:y="1"/>
              <w:rPr>
                <w:rFonts w:asciiTheme="minorHAnsi" w:hAnsiTheme="minorHAnsi" w:cstheme="minorHAnsi"/>
                <w:sz w:val="21"/>
                <w:szCs w:val="21"/>
              </w:rPr>
            </w:pPr>
          </w:p>
        </w:tc>
        <w:tc>
          <w:tcPr>
            <w:tcW w:w="1157" w:type="dxa"/>
            <w:tcBorders>
              <w:top w:val="single" w:sz="4" w:space="0" w:color="auto"/>
              <w:left w:val="single" w:sz="4" w:space="0" w:color="auto"/>
              <w:bottom w:val="single" w:sz="4" w:space="0" w:color="auto"/>
            </w:tcBorders>
            <w:shd w:val="clear" w:color="auto" w:fill="FFFFFF"/>
          </w:tcPr>
          <w:p w14:paraId="7F1D16F8" w14:textId="77777777" w:rsidR="00D3751E" w:rsidRPr="00C30D81" w:rsidRDefault="00D3751E" w:rsidP="00623631">
            <w:pPr>
              <w:framePr w:w="10248" w:wrap="notBeside" w:vAnchor="text" w:hAnchor="text" w:xAlign="center" w:y="1"/>
              <w:rPr>
                <w:rFonts w:asciiTheme="minorHAnsi" w:hAnsiTheme="minorHAnsi" w:cstheme="minorHAnsi"/>
                <w:sz w:val="21"/>
                <w:szCs w:val="21"/>
              </w:rPr>
            </w:pPr>
          </w:p>
        </w:tc>
        <w:tc>
          <w:tcPr>
            <w:tcW w:w="1243" w:type="dxa"/>
            <w:tcBorders>
              <w:top w:val="single" w:sz="4" w:space="0" w:color="auto"/>
              <w:left w:val="single" w:sz="4" w:space="0" w:color="auto"/>
              <w:bottom w:val="single" w:sz="4" w:space="0" w:color="auto"/>
              <w:right w:val="single" w:sz="4" w:space="0" w:color="auto"/>
            </w:tcBorders>
            <w:shd w:val="clear" w:color="auto" w:fill="FFFFFF"/>
          </w:tcPr>
          <w:p w14:paraId="1A072AC5" w14:textId="77777777" w:rsidR="00D3751E" w:rsidRPr="00C30D81" w:rsidRDefault="00D3751E" w:rsidP="00623631">
            <w:pPr>
              <w:framePr w:w="10248" w:wrap="notBeside" w:vAnchor="text" w:hAnchor="text" w:xAlign="center" w:y="1"/>
              <w:rPr>
                <w:rFonts w:asciiTheme="minorHAnsi" w:hAnsiTheme="minorHAnsi" w:cstheme="minorHAnsi"/>
                <w:sz w:val="21"/>
                <w:szCs w:val="21"/>
              </w:rPr>
            </w:pPr>
          </w:p>
        </w:tc>
      </w:tr>
    </w:tbl>
    <w:p w14:paraId="51FAF2F0" w14:textId="77777777" w:rsidR="00D3751E" w:rsidRPr="00C30D81" w:rsidRDefault="00D3751E" w:rsidP="00D3751E">
      <w:pPr>
        <w:framePr w:w="10248" w:wrap="notBeside" w:vAnchor="text" w:hAnchor="text" w:xAlign="center" w:y="1"/>
        <w:rPr>
          <w:rFonts w:asciiTheme="minorHAnsi" w:hAnsiTheme="minorHAnsi" w:cstheme="minorHAnsi"/>
        </w:rPr>
      </w:pPr>
    </w:p>
    <w:p w14:paraId="4F5EC503" w14:textId="77777777" w:rsidR="00BE2350" w:rsidRDefault="00BE2350" w:rsidP="00BE2350">
      <w:pPr>
        <w:pStyle w:val="al"/>
        <w:spacing w:line="345" w:lineRule="atLeast"/>
        <w:rPr>
          <w:rFonts w:ascii="Trebuchet MS" w:hAnsi="Trebuchet MS" w:cs="Arial"/>
          <w:sz w:val="16"/>
          <w:szCs w:val="16"/>
          <w:lang w:val="pt-PT"/>
        </w:rPr>
      </w:pPr>
      <w:r w:rsidRPr="00D3751E">
        <w:rPr>
          <w:rFonts w:ascii="Trebuchet MS" w:hAnsi="Trebuchet MS" w:cs="Arial"/>
          <w:sz w:val="16"/>
          <w:szCs w:val="16"/>
          <w:vertAlign w:val="superscript"/>
          <w:lang w:val="pt-PT"/>
        </w:rPr>
        <w:t>1</w:t>
      </w:r>
      <w:r w:rsidRPr="00D3751E">
        <w:rPr>
          <w:rFonts w:ascii="Trebuchet MS" w:hAnsi="Trebuchet MS" w:cs="Arial"/>
          <w:sz w:val="16"/>
          <w:szCs w:val="16"/>
          <w:lang w:val="pt-PT"/>
        </w:rPr>
        <w:t xml:space="preserve"> TVA care nu se încadrează în prev. Art. 9, alin. (1) sau (2) din H.G. 873/2022 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w:t>
      </w:r>
    </w:p>
    <w:p w14:paraId="09DCD9D4" w14:textId="77777777" w:rsidR="00E81AB4" w:rsidRDefault="00E81AB4" w:rsidP="00BE2350">
      <w:pPr>
        <w:pStyle w:val="al"/>
        <w:spacing w:line="345" w:lineRule="atLeast"/>
        <w:rPr>
          <w:rFonts w:ascii="Trebuchet MS" w:hAnsi="Trebuchet MS" w:cs="Arial"/>
          <w:sz w:val="16"/>
          <w:szCs w:val="16"/>
          <w:lang w:val="pt-PT"/>
        </w:rPr>
      </w:pPr>
    </w:p>
    <w:p w14:paraId="0A596088" w14:textId="77777777" w:rsidR="00E81AB4" w:rsidRDefault="00E81AB4" w:rsidP="00BE2350">
      <w:pPr>
        <w:pStyle w:val="al"/>
        <w:spacing w:line="345" w:lineRule="atLeast"/>
        <w:rPr>
          <w:rFonts w:ascii="Trebuchet MS" w:hAnsi="Trebuchet MS" w:cs="Arial"/>
          <w:sz w:val="16"/>
          <w:szCs w:val="16"/>
          <w:lang w:val="pt-PT"/>
        </w:rPr>
      </w:pPr>
    </w:p>
    <w:p w14:paraId="19266B92" w14:textId="77777777" w:rsidR="00E81AB4" w:rsidRDefault="00E81AB4" w:rsidP="00BE2350">
      <w:pPr>
        <w:pStyle w:val="al"/>
        <w:spacing w:line="345" w:lineRule="atLeast"/>
        <w:rPr>
          <w:rFonts w:ascii="Trebuchet MS" w:hAnsi="Trebuchet MS" w:cs="Arial"/>
          <w:sz w:val="16"/>
          <w:szCs w:val="16"/>
          <w:lang w:val="pt-PT"/>
        </w:rPr>
      </w:pPr>
    </w:p>
    <w:p w14:paraId="0E26EEB5" w14:textId="77777777" w:rsidR="00E81AB4" w:rsidRDefault="00E81AB4" w:rsidP="00BE2350">
      <w:pPr>
        <w:pStyle w:val="al"/>
        <w:spacing w:line="345" w:lineRule="atLeast"/>
        <w:rPr>
          <w:rFonts w:ascii="Trebuchet MS" w:hAnsi="Trebuchet MS" w:cs="Arial"/>
          <w:sz w:val="16"/>
          <w:szCs w:val="16"/>
          <w:lang w:val="pt-PT"/>
        </w:rPr>
      </w:pPr>
    </w:p>
    <w:p w14:paraId="51288B72" w14:textId="77777777" w:rsidR="00E81AB4" w:rsidRDefault="00E81AB4" w:rsidP="00BE2350">
      <w:pPr>
        <w:pStyle w:val="al"/>
        <w:spacing w:line="345" w:lineRule="atLeast"/>
        <w:rPr>
          <w:rFonts w:ascii="Trebuchet MS" w:hAnsi="Trebuchet MS" w:cs="Arial"/>
          <w:sz w:val="16"/>
          <w:szCs w:val="16"/>
          <w:lang w:val="pt-PT"/>
        </w:rPr>
      </w:pPr>
    </w:p>
    <w:p w14:paraId="4409B818" w14:textId="77777777" w:rsidR="00E81AB4" w:rsidRDefault="00E81AB4" w:rsidP="00BE2350">
      <w:pPr>
        <w:pStyle w:val="al"/>
        <w:spacing w:line="345" w:lineRule="atLeast"/>
        <w:rPr>
          <w:rFonts w:ascii="Trebuchet MS" w:hAnsi="Trebuchet MS" w:cs="Arial"/>
          <w:sz w:val="16"/>
          <w:szCs w:val="16"/>
          <w:lang w:val="pt-PT"/>
        </w:rPr>
      </w:pPr>
    </w:p>
    <w:p w14:paraId="41AF1F8D" w14:textId="77777777" w:rsidR="00E81AB4" w:rsidRDefault="00E81AB4" w:rsidP="00BE2350">
      <w:pPr>
        <w:pStyle w:val="al"/>
        <w:spacing w:line="345" w:lineRule="atLeast"/>
        <w:rPr>
          <w:rFonts w:ascii="Trebuchet MS" w:hAnsi="Trebuchet MS" w:cs="Arial"/>
          <w:sz w:val="16"/>
          <w:szCs w:val="16"/>
          <w:lang w:val="pt-PT"/>
        </w:rPr>
      </w:pPr>
    </w:p>
    <w:p w14:paraId="00986BA4" w14:textId="77777777" w:rsidR="00E81AB4" w:rsidRDefault="00E81AB4" w:rsidP="00BE2350">
      <w:pPr>
        <w:pStyle w:val="al"/>
        <w:spacing w:line="345" w:lineRule="atLeast"/>
        <w:rPr>
          <w:rFonts w:ascii="Trebuchet MS" w:hAnsi="Trebuchet MS" w:cs="Arial"/>
          <w:sz w:val="16"/>
          <w:szCs w:val="16"/>
          <w:lang w:val="pt-PT"/>
        </w:rPr>
      </w:pPr>
    </w:p>
    <w:p w14:paraId="54C02DE5" w14:textId="77777777" w:rsidR="00E81AB4" w:rsidRDefault="00E81AB4" w:rsidP="00BE2350">
      <w:pPr>
        <w:pStyle w:val="al"/>
        <w:spacing w:line="345" w:lineRule="atLeast"/>
        <w:rPr>
          <w:rFonts w:ascii="Trebuchet MS" w:hAnsi="Trebuchet MS" w:cs="Arial"/>
          <w:sz w:val="16"/>
          <w:szCs w:val="16"/>
          <w:lang w:val="pt-PT"/>
        </w:rPr>
      </w:pPr>
    </w:p>
    <w:p w14:paraId="7C35E6FD" w14:textId="77777777" w:rsidR="00E81AB4" w:rsidRDefault="00E81AB4" w:rsidP="00BE2350">
      <w:pPr>
        <w:pStyle w:val="al"/>
        <w:spacing w:line="345" w:lineRule="atLeast"/>
        <w:rPr>
          <w:rFonts w:ascii="Trebuchet MS" w:hAnsi="Trebuchet MS" w:cs="Arial"/>
          <w:sz w:val="16"/>
          <w:szCs w:val="16"/>
          <w:lang w:val="pt-PT"/>
        </w:rPr>
      </w:pPr>
    </w:p>
    <w:p w14:paraId="72DF6B25" w14:textId="77777777" w:rsidR="00E81AB4" w:rsidRDefault="00E81AB4" w:rsidP="00BE2350">
      <w:pPr>
        <w:pStyle w:val="al"/>
        <w:spacing w:line="345" w:lineRule="atLeast"/>
        <w:rPr>
          <w:rFonts w:ascii="Trebuchet MS" w:hAnsi="Trebuchet MS" w:cs="Arial"/>
          <w:sz w:val="16"/>
          <w:szCs w:val="16"/>
          <w:lang w:val="pt-PT"/>
        </w:rPr>
      </w:pPr>
    </w:p>
    <w:p w14:paraId="1C492D6A" w14:textId="77777777" w:rsidR="00D3751E" w:rsidRDefault="00D3751E" w:rsidP="00BE2350">
      <w:pPr>
        <w:pStyle w:val="al"/>
        <w:spacing w:line="345" w:lineRule="atLeast"/>
        <w:rPr>
          <w:rFonts w:ascii="Trebuchet MS" w:hAnsi="Trebuchet MS" w:cs="Arial"/>
          <w:sz w:val="16"/>
          <w:szCs w:val="16"/>
          <w:lang w:val="pt-PT"/>
        </w:rPr>
      </w:pPr>
    </w:p>
    <w:p w14:paraId="229E60FC" w14:textId="77777777" w:rsidR="00E81AB4" w:rsidRDefault="00E81AB4" w:rsidP="00BE2350">
      <w:pPr>
        <w:pStyle w:val="al"/>
        <w:spacing w:line="345" w:lineRule="atLeast"/>
        <w:rPr>
          <w:rFonts w:ascii="Trebuchet MS" w:hAnsi="Trebuchet MS" w:cs="Arial"/>
          <w:sz w:val="16"/>
          <w:szCs w:val="16"/>
          <w:lang w:val="pt-PT"/>
        </w:rPr>
      </w:pPr>
    </w:p>
    <w:p w14:paraId="0710271F" w14:textId="77777777" w:rsidR="00D3751E" w:rsidRPr="00D3751E" w:rsidRDefault="00D3751E" w:rsidP="00D3751E">
      <w:pPr>
        <w:ind w:firstLine="261"/>
        <w:jc w:val="both"/>
        <w:rPr>
          <w:rFonts w:asciiTheme="minorHAnsi" w:hAnsiTheme="minorHAnsi" w:cstheme="minorHAnsi"/>
          <w:i/>
          <w:iCs/>
          <w:lang w:val="it-IT"/>
        </w:rPr>
      </w:pPr>
      <w:r w:rsidRPr="00D3751E">
        <w:rPr>
          <w:rFonts w:asciiTheme="minorHAnsi" w:hAnsiTheme="minorHAnsi" w:cstheme="minorHAnsi"/>
          <w:i/>
          <w:iCs/>
          <w:lang w:val="it-IT"/>
        </w:rPr>
        <w:lastRenderedPageBreak/>
        <w:t>(Pentru proiectele implementate în parteneriat se va adăuga paragraful următor.)</w:t>
      </w:r>
    </w:p>
    <w:p w14:paraId="11B98C48" w14:textId="77777777" w:rsidR="00D3751E" w:rsidRPr="00D3751E" w:rsidRDefault="00D3751E" w:rsidP="00D3751E">
      <w:pPr>
        <w:spacing w:line="293" w:lineRule="exact"/>
        <w:ind w:firstLine="260"/>
        <w:jc w:val="both"/>
        <w:rPr>
          <w:rFonts w:asciiTheme="minorHAnsi" w:hAnsiTheme="minorHAnsi" w:cstheme="minorHAnsi"/>
          <w:lang w:val="it-IT"/>
        </w:rPr>
      </w:pPr>
      <w:r w:rsidRPr="00D3751E">
        <w:rPr>
          <w:rFonts w:asciiTheme="minorHAnsi" w:hAnsiTheme="minorHAnsi" w:cstheme="minorHAnsi"/>
          <w:lang w:val="it-IT"/>
        </w:rPr>
        <w:t xml:space="preserve">Valoarea totală eligibilă, respectiv valoarea contractului de finanţare va fi angajată de către Liderul de parteneriat şi parteneri, în baza Acordului de parteneriat încheiat între lider şi parteneri prevăzut în </w:t>
      </w:r>
      <w:r w:rsidRPr="00D3751E">
        <w:rPr>
          <w:rFonts w:asciiTheme="minorHAnsi" w:hAnsiTheme="minorHAnsi" w:cstheme="minorHAnsi"/>
          <w:sz w:val="22"/>
          <w:szCs w:val="22"/>
          <w:u w:val="single"/>
          <w:lang w:val="it-IT"/>
        </w:rPr>
        <w:t xml:space="preserve">anexa nr. </w:t>
      </w:r>
      <w:r w:rsidRPr="00D3751E">
        <w:rPr>
          <w:rFonts w:asciiTheme="minorHAnsi" w:hAnsiTheme="minorHAnsi" w:cstheme="minorHAnsi"/>
          <w:lang w:val="it-IT"/>
        </w:rPr>
        <w:t>4 la prezentul contract, după cum urmează:</w:t>
      </w:r>
    </w:p>
    <w:p w14:paraId="16476C97" w14:textId="77777777" w:rsidR="00D3751E" w:rsidRPr="00D3751E" w:rsidRDefault="00D3751E" w:rsidP="00D3751E">
      <w:pPr>
        <w:tabs>
          <w:tab w:val="left" w:pos="2649"/>
        </w:tabs>
        <w:rPr>
          <w:lang w:val="it-IT"/>
        </w:rPr>
      </w:pPr>
    </w:p>
    <w:tbl>
      <w:tblPr>
        <w:tblW w:w="0" w:type="auto"/>
        <w:tblLayout w:type="fixed"/>
        <w:tblCellMar>
          <w:left w:w="10" w:type="dxa"/>
          <w:right w:w="10" w:type="dxa"/>
        </w:tblCellMar>
        <w:tblLook w:val="04A0" w:firstRow="1" w:lastRow="0" w:firstColumn="1" w:lastColumn="0" w:noHBand="0" w:noVBand="1"/>
      </w:tblPr>
      <w:tblGrid>
        <w:gridCol w:w="1195"/>
        <w:gridCol w:w="1152"/>
        <w:gridCol w:w="1138"/>
        <w:gridCol w:w="1094"/>
        <w:gridCol w:w="850"/>
        <w:gridCol w:w="845"/>
        <w:gridCol w:w="845"/>
        <w:gridCol w:w="850"/>
        <w:gridCol w:w="1152"/>
        <w:gridCol w:w="1128"/>
      </w:tblGrid>
      <w:tr w:rsidR="00D3751E" w:rsidRPr="00C30D81" w14:paraId="38B33818" w14:textId="77777777" w:rsidTr="00623631">
        <w:trPr>
          <w:trHeight w:hRule="exact" w:val="2044"/>
        </w:trPr>
        <w:tc>
          <w:tcPr>
            <w:tcW w:w="1195" w:type="dxa"/>
            <w:vMerge w:val="restart"/>
            <w:tcBorders>
              <w:top w:val="single" w:sz="4" w:space="0" w:color="auto"/>
              <w:left w:val="single" w:sz="4" w:space="0" w:color="auto"/>
            </w:tcBorders>
            <w:shd w:val="clear" w:color="auto" w:fill="FFFFFF"/>
            <w:vAlign w:val="center"/>
          </w:tcPr>
          <w:p w14:paraId="4D1DACCE" w14:textId="77777777" w:rsidR="00D3751E" w:rsidRPr="00C30D81" w:rsidRDefault="00D3751E" w:rsidP="00623631">
            <w:pPr>
              <w:pStyle w:val="Bodytext20"/>
              <w:shd w:val="clear" w:color="auto" w:fill="auto"/>
              <w:spacing w:line="244" w:lineRule="exact"/>
              <w:ind w:firstLine="0"/>
              <w:rPr>
                <w:rFonts w:asciiTheme="minorHAnsi" w:hAnsiTheme="minorHAnsi" w:cstheme="minorHAnsi"/>
                <w:sz w:val="21"/>
                <w:szCs w:val="21"/>
              </w:rPr>
            </w:pPr>
            <w:proofErr w:type="spellStart"/>
            <w:r w:rsidRPr="00C30D81">
              <w:rPr>
                <w:rFonts w:asciiTheme="minorHAnsi" w:hAnsiTheme="minorHAnsi" w:cstheme="minorHAnsi"/>
                <w:sz w:val="21"/>
                <w:szCs w:val="21"/>
              </w:rPr>
              <w:t>Organizaţia</w:t>
            </w:r>
            <w:proofErr w:type="spellEnd"/>
          </w:p>
        </w:tc>
        <w:tc>
          <w:tcPr>
            <w:tcW w:w="1152" w:type="dxa"/>
            <w:tcBorders>
              <w:top w:val="single" w:sz="4" w:space="0" w:color="auto"/>
              <w:left w:val="single" w:sz="4" w:space="0" w:color="auto"/>
            </w:tcBorders>
            <w:shd w:val="clear" w:color="auto" w:fill="FFFFFF"/>
            <w:vAlign w:val="center"/>
          </w:tcPr>
          <w:p w14:paraId="067B2D69" w14:textId="77777777" w:rsidR="00D3751E" w:rsidRPr="00D3751E" w:rsidRDefault="00D3751E" w:rsidP="00623631">
            <w:pPr>
              <w:pStyle w:val="Bodytext20"/>
              <w:shd w:val="clear" w:color="auto" w:fill="auto"/>
              <w:ind w:firstLine="0"/>
              <w:rPr>
                <w:rFonts w:asciiTheme="minorHAnsi" w:hAnsiTheme="minorHAnsi" w:cstheme="minorHAnsi"/>
                <w:sz w:val="21"/>
                <w:szCs w:val="21"/>
                <w:lang w:val="it-IT"/>
              </w:rPr>
            </w:pPr>
            <w:r w:rsidRPr="00D3751E">
              <w:rPr>
                <w:rFonts w:asciiTheme="minorHAnsi" w:hAnsiTheme="minorHAnsi" w:cstheme="minorHAnsi"/>
                <w:sz w:val="21"/>
                <w:szCs w:val="21"/>
                <w:lang w:val="it-IT"/>
              </w:rPr>
              <w:t>Valoarea totală eligibilă a proiectului, inclusiv TVA eligibil</w:t>
            </w:r>
          </w:p>
        </w:tc>
        <w:tc>
          <w:tcPr>
            <w:tcW w:w="2232" w:type="dxa"/>
            <w:gridSpan w:val="2"/>
            <w:tcBorders>
              <w:top w:val="single" w:sz="4" w:space="0" w:color="auto"/>
              <w:left w:val="single" w:sz="4" w:space="0" w:color="auto"/>
            </w:tcBorders>
            <w:shd w:val="clear" w:color="auto" w:fill="FFFFFF"/>
            <w:vAlign w:val="center"/>
          </w:tcPr>
          <w:p w14:paraId="3E89CF11" w14:textId="77777777" w:rsidR="00D3751E" w:rsidRPr="00D3751E" w:rsidRDefault="00D3751E" w:rsidP="00623631">
            <w:pPr>
              <w:pStyle w:val="Bodytext20"/>
              <w:shd w:val="clear" w:color="auto" w:fill="auto"/>
              <w:ind w:firstLine="0"/>
              <w:rPr>
                <w:rFonts w:asciiTheme="minorHAnsi" w:hAnsiTheme="minorHAnsi" w:cstheme="minorHAnsi"/>
                <w:sz w:val="21"/>
                <w:szCs w:val="21"/>
                <w:lang w:val="it-IT"/>
              </w:rPr>
            </w:pPr>
            <w:r w:rsidRPr="00D3751E">
              <w:rPr>
                <w:rFonts w:asciiTheme="minorHAnsi" w:hAnsiTheme="minorHAnsi" w:cstheme="minorHAnsi"/>
                <w:sz w:val="21"/>
                <w:szCs w:val="21"/>
                <w:lang w:val="it-IT"/>
              </w:rPr>
              <w:t>Valoarea eligibilă nerambursabilă din partea fondurilor (FEDR/FSE+/FC/FTJ)</w:t>
            </w:r>
          </w:p>
        </w:tc>
        <w:tc>
          <w:tcPr>
            <w:tcW w:w="1695" w:type="dxa"/>
            <w:gridSpan w:val="2"/>
            <w:tcBorders>
              <w:top w:val="single" w:sz="4" w:space="0" w:color="auto"/>
              <w:left w:val="single" w:sz="4" w:space="0" w:color="auto"/>
            </w:tcBorders>
            <w:shd w:val="clear" w:color="auto" w:fill="FFFFFF"/>
            <w:vAlign w:val="center"/>
          </w:tcPr>
          <w:p w14:paraId="47D98250" w14:textId="77777777" w:rsidR="00D3751E" w:rsidRPr="00D3751E" w:rsidRDefault="00D3751E" w:rsidP="00623631">
            <w:pPr>
              <w:pStyle w:val="Bodytext20"/>
              <w:shd w:val="clear" w:color="auto" w:fill="auto"/>
              <w:ind w:firstLine="0"/>
              <w:rPr>
                <w:rFonts w:asciiTheme="minorHAnsi" w:hAnsiTheme="minorHAnsi" w:cstheme="minorHAnsi"/>
                <w:sz w:val="21"/>
                <w:szCs w:val="21"/>
                <w:lang w:val="it-IT"/>
              </w:rPr>
            </w:pPr>
            <w:r w:rsidRPr="00D3751E">
              <w:rPr>
                <w:rFonts w:asciiTheme="minorHAnsi" w:hAnsiTheme="minorHAnsi" w:cstheme="minorHAnsi"/>
                <w:sz w:val="21"/>
                <w:szCs w:val="21"/>
                <w:lang w:val="it-IT"/>
              </w:rPr>
              <w:t>Valoarea eligibilă nerambursabilă din bugetul naţional</w:t>
            </w:r>
          </w:p>
        </w:tc>
        <w:tc>
          <w:tcPr>
            <w:tcW w:w="1695" w:type="dxa"/>
            <w:gridSpan w:val="2"/>
            <w:tcBorders>
              <w:top w:val="single" w:sz="4" w:space="0" w:color="auto"/>
              <w:left w:val="single" w:sz="4" w:space="0" w:color="auto"/>
            </w:tcBorders>
            <w:shd w:val="clear" w:color="auto" w:fill="FFFFFF"/>
            <w:vAlign w:val="center"/>
          </w:tcPr>
          <w:p w14:paraId="7E69074F" w14:textId="77777777" w:rsidR="00D3751E" w:rsidRPr="00C30D81" w:rsidRDefault="00D3751E" w:rsidP="00623631">
            <w:pPr>
              <w:pStyle w:val="Bodytext20"/>
              <w:shd w:val="clear" w:color="auto" w:fill="auto"/>
              <w:spacing w:line="293" w:lineRule="exact"/>
              <w:ind w:firstLine="0"/>
              <w:rPr>
                <w:rFonts w:asciiTheme="minorHAnsi" w:hAnsiTheme="minorHAnsi" w:cstheme="minorHAnsi"/>
                <w:sz w:val="21"/>
                <w:szCs w:val="21"/>
              </w:rPr>
            </w:pPr>
            <w:proofErr w:type="spellStart"/>
            <w:r w:rsidRPr="00C30D81">
              <w:rPr>
                <w:rFonts w:asciiTheme="minorHAnsi" w:hAnsiTheme="minorHAnsi" w:cstheme="minorHAnsi"/>
                <w:sz w:val="21"/>
                <w:szCs w:val="21"/>
              </w:rPr>
              <w:t>Valoare</w:t>
            </w:r>
            <w:proofErr w:type="spellEnd"/>
          </w:p>
          <w:p w14:paraId="1E4A5025" w14:textId="77777777" w:rsidR="00D3751E" w:rsidRPr="00C30D81" w:rsidRDefault="00D3751E" w:rsidP="00623631">
            <w:pPr>
              <w:pStyle w:val="Bodytext20"/>
              <w:shd w:val="clear" w:color="auto" w:fill="auto"/>
              <w:spacing w:line="293" w:lineRule="exact"/>
              <w:ind w:left="360" w:firstLine="0"/>
              <w:rPr>
                <w:rFonts w:asciiTheme="minorHAnsi" w:hAnsiTheme="minorHAnsi" w:cstheme="minorHAnsi"/>
                <w:sz w:val="21"/>
                <w:szCs w:val="21"/>
              </w:rPr>
            </w:pPr>
            <w:proofErr w:type="spellStart"/>
            <w:r w:rsidRPr="00C30D81">
              <w:rPr>
                <w:rFonts w:asciiTheme="minorHAnsi" w:hAnsiTheme="minorHAnsi" w:cstheme="minorHAnsi"/>
                <w:sz w:val="21"/>
                <w:szCs w:val="21"/>
              </w:rPr>
              <w:t>cofinanţare</w:t>
            </w:r>
            <w:proofErr w:type="spellEnd"/>
          </w:p>
          <w:p w14:paraId="23F16B64" w14:textId="77777777" w:rsidR="00D3751E" w:rsidRPr="00C30D81" w:rsidRDefault="00D3751E" w:rsidP="00623631">
            <w:pPr>
              <w:pStyle w:val="Bodytext20"/>
              <w:shd w:val="clear" w:color="auto" w:fill="auto"/>
              <w:spacing w:line="293" w:lineRule="exact"/>
              <w:ind w:firstLine="0"/>
              <w:rPr>
                <w:rFonts w:asciiTheme="minorHAnsi" w:hAnsiTheme="minorHAnsi" w:cstheme="minorHAnsi"/>
                <w:sz w:val="21"/>
                <w:szCs w:val="21"/>
              </w:rPr>
            </w:pPr>
            <w:proofErr w:type="spellStart"/>
            <w:r w:rsidRPr="00C30D81">
              <w:rPr>
                <w:rFonts w:asciiTheme="minorHAnsi" w:hAnsiTheme="minorHAnsi" w:cstheme="minorHAnsi"/>
                <w:sz w:val="21"/>
                <w:szCs w:val="21"/>
              </w:rPr>
              <w:t>eligibilă</w:t>
            </w:r>
            <w:proofErr w:type="spellEnd"/>
          </w:p>
          <w:p w14:paraId="7FB1ADE5" w14:textId="77777777" w:rsidR="00D3751E" w:rsidRPr="00C30D81" w:rsidRDefault="00D3751E" w:rsidP="00623631">
            <w:pPr>
              <w:pStyle w:val="Bodytext20"/>
              <w:shd w:val="clear" w:color="auto" w:fill="auto"/>
              <w:spacing w:line="293" w:lineRule="exact"/>
              <w:ind w:firstLine="0"/>
              <w:rPr>
                <w:rFonts w:asciiTheme="minorHAnsi" w:hAnsiTheme="minorHAnsi" w:cstheme="minorHAnsi"/>
                <w:sz w:val="21"/>
                <w:szCs w:val="21"/>
              </w:rPr>
            </w:pPr>
            <w:proofErr w:type="spellStart"/>
            <w:r w:rsidRPr="00C30D81">
              <w:rPr>
                <w:rFonts w:asciiTheme="minorHAnsi" w:hAnsiTheme="minorHAnsi" w:cstheme="minorHAnsi"/>
                <w:sz w:val="21"/>
                <w:szCs w:val="21"/>
              </w:rPr>
              <w:t>beneficiar</w:t>
            </w:r>
            <w:proofErr w:type="spellEnd"/>
          </w:p>
        </w:tc>
        <w:tc>
          <w:tcPr>
            <w:tcW w:w="1152" w:type="dxa"/>
            <w:tcBorders>
              <w:top w:val="single" w:sz="4" w:space="0" w:color="auto"/>
              <w:left w:val="single" w:sz="4" w:space="0" w:color="auto"/>
            </w:tcBorders>
            <w:shd w:val="clear" w:color="auto" w:fill="FFFFFF"/>
            <w:vAlign w:val="bottom"/>
          </w:tcPr>
          <w:p w14:paraId="5E6930D6" w14:textId="77777777" w:rsidR="00D3751E" w:rsidRPr="00C30D81" w:rsidRDefault="00D3751E" w:rsidP="00623631">
            <w:pPr>
              <w:pStyle w:val="Bodytext20"/>
              <w:shd w:val="clear" w:color="auto" w:fill="auto"/>
              <w:ind w:firstLine="0"/>
              <w:rPr>
                <w:rFonts w:asciiTheme="minorHAnsi" w:hAnsiTheme="minorHAnsi" w:cstheme="minorHAnsi"/>
                <w:sz w:val="21"/>
                <w:szCs w:val="21"/>
              </w:rPr>
            </w:pPr>
            <w:proofErr w:type="spellStart"/>
            <w:r w:rsidRPr="00C30D81">
              <w:rPr>
                <w:rFonts w:asciiTheme="minorHAnsi" w:hAnsiTheme="minorHAnsi" w:cstheme="minorHAnsi"/>
                <w:sz w:val="21"/>
                <w:szCs w:val="21"/>
              </w:rPr>
              <w:t>Valoarea</w:t>
            </w:r>
            <w:proofErr w:type="spellEnd"/>
            <w:r>
              <w:rPr>
                <w:rFonts w:asciiTheme="minorHAnsi" w:hAnsiTheme="minorHAnsi" w:cstheme="minorHAnsi"/>
                <w:sz w:val="21"/>
                <w:szCs w:val="21"/>
              </w:rPr>
              <w:t xml:space="preserve"> </w:t>
            </w:r>
            <w:proofErr w:type="spellStart"/>
            <w:r w:rsidRPr="00C30D81">
              <w:rPr>
                <w:rFonts w:asciiTheme="minorHAnsi" w:hAnsiTheme="minorHAnsi" w:cstheme="minorHAnsi"/>
                <w:sz w:val="21"/>
                <w:szCs w:val="21"/>
              </w:rPr>
              <w:t>totală</w:t>
            </w:r>
            <w:proofErr w:type="spellEnd"/>
            <w:r>
              <w:rPr>
                <w:rFonts w:asciiTheme="minorHAnsi" w:hAnsiTheme="minorHAnsi" w:cstheme="minorHAnsi"/>
                <w:sz w:val="21"/>
                <w:szCs w:val="21"/>
              </w:rPr>
              <w:t xml:space="preserve"> </w:t>
            </w:r>
            <w:proofErr w:type="spellStart"/>
            <w:r w:rsidRPr="00C30D81">
              <w:rPr>
                <w:rFonts w:asciiTheme="minorHAnsi" w:hAnsiTheme="minorHAnsi" w:cstheme="minorHAnsi"/>
                <w:sz w:val="21"/>
                <w:szCs w:val="21"/>
              </w:rPr>
              <w:t>neeligibilă</w:t>
            </w:r>
            <w:proofErr w:type="spellEnd"/>
          </w:p>
          <w:p w14:paraId="04836B52" w14:textId="77777777" w:rsidR="00D3751E" w:rsidRPr="00C30D81" w:rsidRDefault="00D3751E" w:rsidP="00623631">
            <w:pPr>
              <w:pStyle w:val="Bodytext20"/>
              <w:shd w:val="clear" w:color="auto" w:fill="auto"/>
              <w:ind w:firstLine="0"/>
              <w:rPr>
                <w:rFonts w:asciiTheme="minorHAnsi" w:hAnsiTheme="minorHAnsi" w:cstheme="minorHAnsi"/>
                <w:sz w:val="21"/>
                <w:szCs w:val="21"/>
              </w:rPr>
            </w:pPr>
            <w:r w:rsidRPr="00C30D81">
              <w:rPr>
                <w:rFonts w:asciiTheme="minorHAnsi" w:hAnsiTheme="minorHAnsi" w:cstheme="minorHAnsi"/>
                <w:sz w:val="21"/>
                <w:szCs w:val="21"/>
              </w:rPr>
              <w:t>a</w:t>
            </w:r>
          </w:p>
          <w:p w14:paraId="40B8D9A5" w14:textId="77777777" w:rsidR="00D3751E" w:rsidRPr="00C30D81" w:rsidRDefault="00D3751E" w:rsidP="00623631">
            <w:pPr>
              <w:pStyle w:val="Bodytext20"/>
              <w:shd w:val="clear" w:color="auto" w:fill="auto"/>
              <w:ind w:firstLine="0"/>
              <w:rPr>
                <w:rFonts w:asciiTheme="minorHAnsi" w:hAnsiTheme="minorHAnsi" w:cstheme="minorHAnsi"/>
                <w:sz w:val="21"/>
                <w:szCs w:val="21"/>
              </w:rPr>
            </w:pPr>
            <w:proofErr w:type="spellStart"/>
            <w:r w:rsidRPr="00C30D81">
              <w:rPr>
                <w:rFonts w:asciiTheme="minorHAnsi" w:hAnsiTheme="minorHAnsi" w:cstheme="minorHAnsi"/>
                <w:sz w:val="21"/>
                <w:szCs w:val="21"/>
              </w:rPr>
              <w:t>proiectului</w:t>
            </w:r>
            <w:proofErr w:type="spellEnd"/>
            <w:r w:rsidRPr="00C30D81">
              <w:rPr>
                <w:rFonts w:asciiTheme="minorHAnsi" w:hAnsiTheme="minorHAnsi" w:cstheme="minorHAnsi"/>
                <w:sz w:val="21"/>
                <w:szCs w:val="21"/>
              </w:rPr>
              <w:t>,</w:t>
            </w:r>
            <w:r>
              <w:rPr>
                <w:rFonts w:asciiTheme="minorHAnsi" w:hAnsiTheme="minorHAnsi" w:cstheme="minorHAnsi"/>
                <w:sz w:val="21"/>
                <w:szCs w:val="21"/>
              </w:rPr>
              <w:t xml:space="preserve"> </w:t>
            </w:r>
            <w:proofErr w:type="spellStart"/>
            <w:r w:rsidRPr="00C30D81">
              <w:rPr>
                <w:rFonts w:asciiTheme="minorHAnsi" w:hAnsiTheme="minorHAnsi" w:cstheme="minorHAnsi"/>
                <w:sz w:val="21"/>
                <w:szCs w:val="21"/>
              </w:rPr>
              <w:t>inclusiv</w:t>
            </w:r>
            <w:proofErr w:type="spellEnd"/>
            <w:r>
              <w:rPr>
                <w:rFonts w:asciiTheme="minorHAnsi" w:hAnsiTheme="minorHAnsi" w:cstheme="minorHAnsi"/>
                <w:sz w:val="21"/>
                <w:szCs w:val="21"/>
              </w:rPr>
              <w:t xml:space="preserve"> </w:t>
            </w:r>
            <w:r w:rsidRPr="00C30D81">
              <w:rPr>
                <w:rFonts w:asciiTheme="minorHAnsi" w:hAnsiTheme="minorHAnsi" w:cstheme="minorHAnsi"/>
                <w:sz w:val="21"/>
                <w:szCs w:val="21"/>
              </w:rPr>
              <w:t>TVA</w:t>
            </w:r>
            <w:r>
              <w:rPr>
                <w:rFonts w:asciiTheme="minorHAnsi" w:hAnsiTheme="minorHAnsi" w:cstheme="minorHAnsi"/>
                <w:sz w:val="21"/>
                <w:szCs w:val="21"/>
              </w:rPr>
              <w:t xml:space="preserve"> </w:t>
            </w:r>
            <w:proofErr w:type="spellStart"/>
            <w:r w:rsidRPr="00C30D81">
              <w:rPr>
                <w:rFonts w:asciiTheme="minorHAnsi" w:hAnsiTheme="minorHAnsi" w:cstheme="minorHAnsi"/>
                <w:sz w:val="21"/>
                <w:szCs w:val="21"/>
              </w:rPr>
              <w:t>neeligibil</w:t>
            </w:r>
            <w:proofErr w:type="spellEnd"/>
          </w:p>
        </w:tc>
        <w:tc>
          <w:tcPr>
            <w:tcW w:w="1128" w:type="dxa"/>
            <w:tcBorders>
              <w:top w:val="single" w:sz="4" w:space="0" w:color="auto"/>
              <w:left w:val="single" w:sz="4" w:space="0" w:color="auto"/>
              <w:right w:val="single" w:sz="4" w:space="0" w:color="auto"/>
            </w:tcBorders>
            <w:shd w:val="clear" w:color="auto" w:fill="FFFFFF"/>
            <w:vAlign w:val="center"/>
          </w:tcPr>
          <w:p w14:paraId="0E8252E8" w14:textId="77777777" w:rsidR="00D3751E" w:rsidRPr="00C30D81" w:rsidRDefault="00D3751E" w:rsidP="00623631">
            <w:pPr>
              <w:pStyle w:val="Bodytext20"/>
              <w:shd w:val="clear" w:color="auto" w:fill="auto"/>
              <w:spacing w:line="293" w:lineRule="exact"/>
              <w:ind w:firstLine="0"/>
              <w:rPr>
                <w:rFonts w:asciiTheme="minorHAnsi" w:hAnsiTheme="minorHAnsi" w:cstheme="minorHAnsi"/>
                <w:sz w:val="21"/>
                <w:szCs w:val="21"/>
              </w:rPr>
            </w:pPr>
            <w:proofErr w:type="spellStart"/>
            <w:r w:rsidRPr="00C30D81">
              <w:rPr>
                <w:rFonts w:asciiTheme="minorHAnsi" w:hAnsiTheme="minorHAnsi" w:cstheme="minorHAnsi"/>
                <w:sz w:val="21"/>
                <w:szCs w:val="21"/>
              </w:rPr>
              <w:t>Valoarea</w:t>
            </w:r>
            <w:proofErr w:type="spellEnd"/>
            <w:r w:rsidRPr="00C30D81">
              <w:rPr>
                <w:rFonts w:asciiTheme="minorHAnsi" w:hAnsiTheme="minorHAnsi" w:cstheme="minorHAnsi"/>
                <w:sz w:val="21"/>
                <w:szCs w:val="21"/>
              </w:rPr>
              <w:t xml:space="preserve"> </w:t>
            </w:r>
            <w:proofErr w:type="spellStart"/>
            <w:r w:rsidRPr="00C30D81">
              <w:rPr>
                <w:rFonts w:asciiTheme="minorHAnsi" w:hAnsiTheme="minorHAnsi" w:cstheme="minorHAnsi"/>
                <w:sz w:val="21"/>
                <w:szCs w:val="21"/>
              </w:rPr>
              <w:t>totală</w:t>
            </w:r>
            <w:proofErr w:type="spellEnd"/>
            <w:r w:rsidRPr="00C30D81">
              <w:rPr>
                <w:rFonts w:asciiTheme="minorHAnsi" w:hAnsiTheme="minorHAnsi" w:cstheme="minorHAnsi"/>
                <w:sz w:val="21"/>
                <w:szCs w:val="21"/>
              </w:rPr>
              <w:t xml:space="preserve"> a </w:t>
            </w:r>
            <w:proofErr w:type="spellStart"/>
            <w:r w:rsidRPr="00C30D81">
              <w:rPr>
                <w:rFonts w:asciiTheme="minorHAnsi" w:hAnsiTheme="minorHAnsi" w:cstheme="minorHAnsi"/>
                <w:sz w:val="21"/>
                <w:szCs w:val="21"/>
              </w:rPr>
              <w:t>proiectului</w:t>
            </w:r>
            <w:proofErr w:type="spellEnd"/>
          </w:p>
        </w:tc>
      </w:tr>
      <w:tr w:rsidR="00D3751E" w:rsidRPr="00C30D81" w14:paraId="43703E59" w14:textId="77777777" w:rsidTr="00623631">
        <w:trPr>
          <w:trHeight w:hRule="exact" w:val="379"/>
        </w:trPr>
        <w:tc>
          <w:tcPr>
            <w:tcW w:w="1195" w:type="dxa"/>
            <w:vMerge/>
            <w:tcBorders>
              <w:left w:val="single" w:sz="4" w:space="0" w:color="auto"/>
            </w:tcBorders>
            <w:shd w:val="clear" w:color="auto" w:fill="FFFFFF"/>
            <w:vAlign w:val="center"/>
          </w:tcPr>
          <w:p w14:paraId="4E7BB1D5" w14:textId="77777777" w:rsidR="00D3751E" w:rsidRPr="00C30D81" w:rsidRDefault="00D3751E" w:rsidP="00623631">
            <w:pPr>
              <w:rPr>
                <w:rFonts w:asciiTheme="minorHAnsi" w:hAnsiTheme="minorHAnsi" w:cstheme="minorHAnsi"/>
                <w:sz w:val="21"/>
                <w:szCs w:val="21"/>
              </w:rPr>
            </w:pPr>
          </w:p>
        </w:tc>
        <w:tc>
          <w:tcPr>
            <w:tcW w:w="1152" w:type="dxa"/>
            <w:tcBorders>
              <w:top w:val="single" w:sz="4" w:space="0" w:color="auto"/>
              <w:left w:val="single" w:sz="4" w:space="0" w:color="auto"/>
            </w:tcBorders>
            <w:shd w:val="clear" w:color="auto" w:fill="FFFFFF"/>
            <w:vAlign w:val="bottom"/>
          </w:tcPr>
          <w:p w14:paraId="7A620C4C" w14:textId="77777777" w:rsidR="00D3751E" w:rsidRPr="00C30D81" w:rsidRDefault="00D3751E" w:rsidP="00623631">
            <w:pPr>
              <w:pStyle w:val="Bodytext20"/>
              <w:shd w:val="clear" w:color="auto" w:fill="auto"/>
              <w:spacing w:line="244" w:lineRule="exact"/>
              <w:ind w:firstLine="0"/>
              <w:rPr>
                <w:rFonts w:asciiTheme="minorHAnsi" w:hAnsiTheme="minorHAnsi" w:cstheme="minorHAnsi"/>
                <w:sz w:val="21"/>
                <w:szCs w:val="21"/>
              </w:rPr>
            </w:pPr>
            <w:r w:rsidRPr="00C30D81">
              <w:rPr>
                <w:rFonts w:asciiTheme="minorHAnsi" w:hAnsiTheme="minorHAnsi" w:cstheme="minorHAnsi"/>
                <w:sz w:val="21"/>
                <w:szCs w:val="21"/>
              </w:rPr>
              <w:t>(lei)</w:t>
            </w:r>
          </w:p>
        </w:tc>
        <w:tc>
          <w:tcPr>
            <w:tcW w:w="1138" w:type="dxa"/>
            <w:tcBorders>
              <w:top w:val="single" w:sz="4" w:space="0" w:color="auto"/>
              <w:left w:val="single" w:sz="4" w:space="0" w:color="auto"/>
            </w:tcBorders>
            <w:shd w:val="clear" w:color="auto" w:fill="FFFFFF"/>
            <w:vAlign w:val="bottom"/>
          </w:tcPr>
          <w:p w14:paraId="1E7EAA3C" w14:textId="77777777" w:rsidR="00D3751E" w:rsidRPr="00C30D81" w:rsidRDefault="00D3751E" w:rsidP="00623631">
            <w:pPr>
              <w:pStyle w:val="Bodytext20"/>
              <w:shd w:val="clear" w:color="auto" w:fill="auto"/>
              <w:spacing w:line="244" w:lineRule="exact"/>
              <w:ind w:firstLine="0"/>
              <w:rPr>
                <w:rFonts w:asciiTheme="minorHAnsi" w:hAnsiTheme="minorHAnsi" w:cstheme="minorHAnsi"/>
                <w:sz w:val="21"/>
                <w:szCs w:val="21"/>
              </w:rPr>
            </w:pPr>
            <w:r w:rsidRPr="00C30D81">
              <w:rPr>
                <w:rFonts w:asciiTheme="minorHAnsi" w:hAnsiTheme="minorHAnsi" w:cstheme="minorHAnsi"/>
                <w:sz w:val="21"/>
                <w:szCs w:val="21"/>
              </w:rPr>
              <w:t>(lei)</w:t>
            </w:r>
          </w:p>
        </w:tc>
        <w:tc>
          <w:tcPr>
            <w:tcW w:w="1094" w:type="dxa"/>
            <w:tcBorders>
              <w:top w:val="single" w:sz="4" w:space="0" w:color="auto"/>
              <w:left w:val="single" w:sz="4" w:space="0" w:color="auto"/>
            </w:tcBorders>
            <w:shd w:val="clear" w:color="auto" w:fill="FFFFFF"/>
            <w:vAlign w:val="bottom"/>
          </w:tcPr>
          <w:p w14:paraId="7C55858D" w14:textId="77777777" w:rsidR="00D3751E" w:rsidRPr="00C30D81" w:rsidRDefault="00D3751E" w:rsidP="00623631">
            <w:pPr>
              <w:pStyle w:val="Bodytext20"/>
              <w:shd w:val="clear" w:color="auto" w:fill="auto"/>
              <w:spacing w:line="244" w:lineRule="exact"/>
              <w:ind w:left="420" w:firstLine="0"/>
              <w:jc w:val="left"/>
              <w:rPr>
                <w:rFonts w:asciiTheme="minorHAnsi" w:hAnsiTheme="minorHAnsi" w:cstheme="minorHAnsi"/>
                <w:sz w:val="21"/>
                <w:szCs w:val="21"/>
              </w:rPr>
            </w:pPr>
            <w:r w:rsidRPr="00C30D81">
              <w:rPr>
                <w:rFonts w:asciiTheme="minorHAnsi" w:hAnsiTheme="minorHAnsi" w:cstheme="minorHAnsi"/>
                <w:sz w:val="21"/>
                <w:szCs w:val="21"/>
              </w:rPr>
              <w:t>(%)</w:t>
            </w:r>
          </w:p>
        </w:tc>
        <w:tc>
          <w:tcPr>
            <w:tcW w:w="850" w:type="dxa"/>
            <w:tcBorders>
              <w:top w:val="single" w:sz="4" w:space="0" w:color="auto"/>
              <w:left w:val="single" w:sz="4" w:space="0" w:color="auto"/>
            </w:tcBorders>
            <w:shd w:val="clear" w:color="auto" w:fill="FFFFFF"/>
            <w:vAlign w:val="bottom"/>
          </w:tcPr>
          <w:p w14:paraId="77F1768B" w14:textId="77777777" w:rsidR="00D3751E" w:rsidRPr="00C30D81" w:rsidRDefault="00D3751E" w:rsidP="00623631">
            <w:pPr>
              <w:pStyle w:val="Bodytext20"/>
              <w:shd w:val="clear" w:color="auto" w:fill="auto"/>
              <w:spacing w:line="244" w:lineRule="exact"/>
              <w:ind w:left="240" w:firstLine="0"/>
              <w:jc w:val="left"/>
              <w:rPr>
                <w:rFonts w:asciiTheme="minorHAnsi" w:hAnsiTheme="minorHAnsi" w:cstheme="minorHAnsi"/>
                <w:sz w:val="21"/>
                <w:szCs w:val="21"/>
              </w:rPr>
            </w:pPr>
            <w:r w:rsidRPr="00C30D81">
              <w:rPr>
                <w:rFonts w:asciiTheme="minorHAnsi" w:hAnsiTheme="minorHAnsi" w:cstheme="minorHAnsi"/>
                <w:sz w:val="21"/>
                <w:szCs w:val="21"/>
              </w:rPr>
              <w:t>(lei)</w:t>
            </w:r>
          </w:p>
        </w:tc>
        <w:tc>
          <w:tcPr>
            <w:tcW w:w="845" w:type="dxa"/>
            <w:tcBorders>
              <w:top w:val="single" w:sz="4" w:space="0" w:color="auto"/>
              <w:left w:val="single" w:sz="4" w:space="0" w:color="auto"/>
            </w:tcBorders>
            <w:shd w:val="clear" w:color="auto" w:fill="FFFFFF"/>
            <w:vAlign w:val="bottom"/>
          </w:tcPr>
          <w:p w14:paraId="055DAA4F" w14:textId="77777777" w:rsidR="00D3751E" w:rsidRPr="00C30D81" w:rsidRDefault="00D3751E" w:rsidP="00623631">
            <w:pPr>
              <w:pStyle w:val="Bodytext20"/>
              <w:shd w:val="clear" w:color="auto" w:fill="auto"/>
              <w:spacing w:line="244" w:lineRule="exact"/>
              <w:ind w:left="300" w:firstLine="0"/>
              <w:jc w:val="left"/>
              <w:rPr>
                <w:rFonts w:asciiTheme="minorHAnsi" w:hAnsiTheme="minorHAnsi" w:cstheme="minorHAnsi"/>
                <w:sz w:val="21"/>
                <w:szCs w:val="21"/>
              </w:rPr>
            </w:pPr>
            <w:r w:rsidRPr="00C30D81">
              <w:rPr>
                <w:rFonts w:asciiTheme="minorHAnsi" w:hAnsiTheme="minorHAnsi" w:cstheme="minorHAnsi"/>
                <w:sz w:val="21"/>
                <w:szCs w:val="21"/>
              </w:rPr>
              <w:t>(%)</w:t>
            </w:r>
          </w:p>
        </w:tc>
        <w:tc>
          <w:tcPr>
            <w:tcW w:w="845" w:type="dxa"/>
            <w:tcBorders>
              <w:top w:val="single" w:sz="4" w:space="0" w:color="auto"/>
              <w:left w:val="single" w:sz="4" w:space="0" w:color="auto"/>
            </w:tcBorders>
            <w:shd w:val="clear" w:color="auto" w:fill="FFFFFF"/>
            <w:vAlign w:val="bottom"/>
          </w:tcPr>
          <w:p w14:paraId="755B5D41" w14:textId="77777777" w:rsidR="00D3751E" w:rsidRPr="00C30D81" w:rsidRDefault="00D3751E" w:rsidP="00623631">
            <w:pPr>
              <w:pStyle w:val="Bodytext20"/>
              <w:shd w:val="clear" w:color="auto" w:fill="auto"/>
              <w:spacing w:line="244" w:lineRule="exact"/>
              <w:ind w:left="240" w:firstLine="0"/>
              <w:jc w:val="left"/>
              <w:rPr>
                <w:rFonts w:asciiTheme="minorHAnsi" w:hAnsiTheme="minorHAnsi" w:cstheme="minorHAnsi"/>
                <w:sz w:val="21"/>
                <w:szCs w:val="21"/>
              </w:rPr>
            </w:pPr>
            <w:r w:rsidRPr="00C30D81">
              <w:rPr>
                <w:rFonts w:asciiTheme="minorHAnsi" w:hAnsiTheme="minorHAnsi" w:cstheme="minorHAnsi"/>
                <w:sz w:val="21"/>
                <w:szCs w:val="21"/>
              </w:rPr>
              <w:t>(lei)</w:t>
            </w:r>
          </w:p>
        </w:tc>
        <w:tc>
          <w:tcPr>
            <w:tcW w:w="850" w:type="dxa"/>
            <w:tcBorders>
              <w:top w:val="single" w:sz="4" w:space="0" w:color="auto"/>
              <w:left w:val="single" w:sz="4" w:space="0" w:color="auto"/>
            </w:tcBorders>
            <w:shd w:val="clear" w:color="auto" w:fill="FFFFFF"/>
            <w:vAlign w:val="bottom"/>
          </w:tcPr>
          <w:p w14:paraId="4D158E88" w14:textId="77777777" w:rsidR="00D3751E" w:rsidRPr="00C30D81" w:rsidRDefault="00D3751E" w:rsidP="00623631">
            <w:pPr>
              <w:pStyle w:val="Bodytext20"/>
              <w:shd w:val="clear" w:color="auto" w:fill="auto"/>
              <w:spacing w:line="244" w:lineRule="exact"/>
              <w:ind w:left="300" w:firstLine="0"/>
              <w:jc w:val="left"/>
              <w:rPr>
                <w:rFonts w:asciiTheme="minorHAnsi" w:hAnsiTheme="minorHAnsi" w:cstheme="minorHAnsi"/>
                <w:sz w:val="21"/>
                <w:szCs w:val="21"/>
              </w:rPr>
            </w:pPr>
            <w:r w:rsidRPr="00C30D81">
              <w:rPr>
                <w:rFonts w:asciiTheme="minorHAnsi" w:hAnsiTheme="minorHAnsi" w:cstheme="minorHAnsi"/>
                <w:sz w:val="21"/>
                <w:szCs w:val="21"/>
              </w:rPr>
              <w:t>(%)</w:t>
            </w:r>
          </w:p>
        </w:tc>
        <w:tc>
          <w:tcPr>
            <w:tcW w:w="1152" w:type="dxa"/>
            <w:tcBorders>
              <w:top w:val="single" w:sz="4" w:space="0" w:color="auto"/>
              <w:left w:val="single" w:sz="4" w:space="0" w:color="auto"/>
            </w:tcBorders>
            <w:shd w:val="clear" w:color="auto" w:fill="FFFFFF"/>
            <w:vAlign w:val="bottom"/>
          </w:tcPr>
          <w:p w14:paraId="4F09E46D" w14:textId="77777777" w:rsidR="00D3751E" w:rsidRPr="00C30D81" w:rsidRDefault="00D3751E" w:rsidP="00623631">
            <w:pPr>
              <w:pStyle w:val="Bodytext20"/>
              <w:shd w:val="clear" w:color="auto" w:fill="auto"/>
              <w:spacing w:line="244" w:lineRule="exact"/>
              <w:ind w:firstLine="0"/>
              <w:rPr>
                <w:rFonts w:asciiTheme="minorHAnsi" w:hAnsiTheme="minorHAnsi" w:cstheme="minorHAnsi"/>
                <w:sz w:val="21"/>
                <w:szCs w:val="21"/>
              </w:rPr>
            </w:pPr>
            <w:r w:rsidRPr="00C30D81">
              <w:rPr>
                <w:rFonts w:asciiTheme="minorHAnsi" w:hAnsiTheme="minorHAnsi" w:cstheme="minorHAnsi"/>
                <w:sz w:val="21"/>
                <w:szCs w:val="21"/>
              </w:rPr>
              <w:t>(lei)</w:t>
            </w:r>
          </w:p>
        </w:tc>
        <w:tc>
          <w:tcPr>
            <w:tcW w:w="1128" w:type="dxa"/>
            <w:tcBorders>
              <w:top w:val="single" w:sz="4" w:space="0" w:color="auto"/>
              <w:left w:val="single" w:sz="4" w:space="0" w:color="auto"/>
              <w:right w:val="single" w:sz="4" w:space="0" w:color="auto"/>
            </w:tcBorders>
            <w:shd w:val="clear" w:color="auto" w:fill="FFFFFF"/>
            <w:vAlign w:val="bottom"/>
          </w:tcPr>
          <w:p w14:paraId="498D0E73" w14:textId="77777777" w:rsidR="00D3751E" w:rsidRPr="00C30D81" w:rsidRDefault="00D3751E" w:rsidP="00623631">
            <w:pPr>
              <w:pStyle w:val="Bodytext20"/>
              <w:shd w:val="clear" w:color="auto" w:fill="auto"/>
              <w:spacing w:line="244" w:lineRule="exact"/>
              <w:ind w:firstLine="0"/>
              <w:rPr>
                <w:rFonts w:asciiTheme="minorHAnsi" w:hAnsiTheme="minorHAnsi" w:cstheme="minorHAnsi"/>
                <w:sz w:val="21"/>
                <w:szCs w:val="21"/>
              </w:rPr>
            </w:pPr>
            <w:r w:rsidRPr="00C30D81">
              <w:rPr>
                <w:rFonts w:asciiTheme="minorHAnsi" w:hAnsiTheme="minorHAnsi" w:cstheme="minorHAnsi"/>
                <w:sz w:val="21"/>
                <w:szCs w:val="21"/>
              </w:rPr>
              <w:t>(lei)</w:t>
            </w:r>
          </w:p>
        </w:tc>
      </w:tr>
      <w:tr w:rsidR="00D3751E" w:rsidRPr="00C30D81" w14:paraId="076FE495" w14:textId="77777777" w:rsidTr="00623631">
        <w:trPr>
          <w:trHeight w:hRule="exact" w:val="379"/>
        </w:trPr>
        <w:tc>
          <w:tcPr>
            <w:tcW w:w="1195" w:type="dxa"/>
            <w:tcBorders>
              <w:top w:val="single" w:sz="4" w:space="0" w:color="auto"/>
              <w:left w:val="single" w:sz="4" w:space="0" w:color="auto"/>
            </w:tcBorders>
            <w:shd w:val="clear" w:color="auto" w:fill="FFFFFF"/>
            <w:vAlign w:val="center"/>
          </w:tcPr>
          <w:p w14:paraId="4414BDBD" w14:textId="77777777" w:rsidR="00D3751E" w:rsidRPr="00C30D81" w:rsidRDefault="00D3751E" w:rsidP="00623631">
            <w:pPr>
              <w:pStyle w:val="Bodytext20"/>
              <w:shd w:val="clear" w:color="auto" w:fill="auto"/>
              <w:spacing w:line="244" w:lineRule="exact"/>
              <w:ind w:firstLine="0"/>
              <w:rPr>
                <w:rFonts w:asciiTheme="minorHAnsi" w:hAnsiTheme="minorHAnsi" w:cstheme="minorHAnsi"/>
                <w:sz w:val="21"/>
                <w:szCs w:val="21"/>
              </w:rPr>
            </w:pPr>
            <w:r w:rsidRPr="00C30D81">
              <w:rPr>
                <w:rFonts w:asciiTheme="minorHAnsi" w:hAnsiTheme="minorHAnsi" w:cstheme="minorHAnsi"/>
                <w:sz w:val="21"/>
                <w:szCs w:val="21"/>
              </w:rPr>
              <w:t>0</w:t>
            </w:r>
          </w:p>
        </w:tc>
        <w:tc>
          <w:tcPr>
            <w:tcW w:w="1152" w:type="dxa"/>
            <w:tcBorders>
              <w:top w:val="single" w:sz="4" w:space="0" w:color="auto"/>
              <w:left w:val="single" w:sz="4" w:space="0" w:color="auto"/>
            </w:tcBorders>
            <w:shd w:val="clear" w:color="auto" w:fill="FFFFFF"/>
            <w:vAlign w:val="center"/>
          </w:tcPr>
          <w:p w14:paraId="6ABFDA98" w14:textId="77777777" w:rsidR="00D3751E" w:rsidRPr="00C30D81" w:rsidRDefault="00D3751E" w:rsidP="00623631">
            <w:pPr>
              <w:pStyle w:val="Bodytext20"/>
              <w:shd w:val="clear" w:color="auto" w:fill="auto"/>
              <w:spacing w:line="244" w:lineRule="exact"/>
              <w:ind w:left="160" w:firstLine="0"/>
              <w:jc w:val="left"/>
              <w:rPr>
                <w:rFonts w:asciiTheme="minorHAnsi" w:hAnsiTheme="minorHAnsi" w:cstheme="minorHAnsi"/>
                <w:sz w:val="21"/>
                <w:szCs w:val="21"/>
              </w:rPr>
            </w:pPr>
            <w:r w:rsidRPr="00C30D81">
              <w:rPr>
                <w:rFonts w:asciiTheme="minorHAnsi" w:hAnsiTheme="minorHAnsi" w:cstheme="minorHAnsi"/>
                <w:sz w:val="21"/>
                <w:szCs w:val="21"/>
              </w:rPr>
              <w:t>1 =2+3+4</w:t>
            </w:r>
          </w:p>
        </w:tc>
        <w:tc>
          <w:tcPr>
            <w:tcW w:w="1138" w:type="dxa"/>
            <w:tcBorders>
              <w:top w:val="single" w:sz="4" w:space="0" w:color="auto"/>
              <w:left w:val="single" w:sz="4" w:space="0" w:color="auto"/>
            </w:tcBorders>
            <w:shd w:val="clear" w:color="auto" w:fill="FFFFFF"/>
            <w:vAlign w:val="center"/>
          </w:tcPr>
          <w:p w14:paraId="5D31D860" w14:textId="77777777" w:rsidR="00D3751E" w:rsidRPr="00C30D81" w:rsidRDefault="00D3751E" w:rsidP="00623631">
            <w:pPr>
              <w:pStyle w:val="Bodytext20"/>
              <w:shd w:val="clear" w:color="auto" w:fill="auto"/>
              <w:spacing w:line="244" w:lineRule="exact"/>
              <w:ind w:firstLine="0"/>
              <w:rPr>
                <w:rFonts w:asciiTheme="minorHAnsi" w:hAnsiTheme="minorHAnsi" w:cstheme="minorHAnsi"/>
                <w:sz w:val="21"/>
                <w:szCs w:val="21"/>
              </w:rPr>
            </w:pPr>
            <w:r w:rsidRPr="00C30D81">
              <w:rPr>
                <w:rFonts w:asciiTheme="minorHAnsi" w:hAnsiTheme="minorHAnsi" w:cstheme="minorHAnsi"/>
                <w:sz w:val="21"/>
                <w:szCs w:val="21"/>
              </w:rPr>
              <w:t>2</w:t>
            </w:r>
          </w:p>
        </w:tc>
        <w:tc>
          <w:tcPr>
            <w:tcW w:w="1094" w:type="dxa"/>
            <w:tcBorders>
              <w:top w:val="single" w:sz="4" w:space="0" w:color="auto"/>
              <w:left w:val="single" w:sz="4" w:space="0" w:color="auto"/>
            </w:tcBorders>
            <w:shd w:val="clear" w:color="auto" w:fill="FFFFFF"/>
            <w:vAlign w:val="center"/>
          </w:tcPr>
          <w:p w14:paraId="5C46CEF0" w14:textId="77777777" w:rsidR="00D3751E" w:rsidRPr="00C30D81" w:rsidRDefault="00D3751E" w:rsidP="00623631">
            <w:pPr>
              <w:pStyle w:val="Bodytext20"/>
              <w:shd w:val="clear" w:color="auto" w:fill="auto"/>
              <w:spacing w:line="244" w:lineRule="exact"/>
              <w:ind w:left="420" w:firstLine="0"/>
              <w:jc w:val="left"/>
              <w:rPr>
                <w:rFonts w:asciiTheme="minorHAnsi" w:hAnsiTheme="minorHAnsi" w:cstheme="minorHAnsi"/>
                <w:sz w:val="21"/>
                <w:szCs w:val="21"/>
              </w:rPr>
            </w:pPr>
          </w:p>
        </w:tc>
        <w:tc>
          <w:tcPr>
            <w:tcW w:w="850" w:type="dxa"/>
            <w:tcBorders>
              <w:top w:val="single" w:sz="4" w:space="0" w:color="auto"/>
              <w:left w:val="single" w:sz="4" w:space="0" w:color="auto"/>
            </w:tcBorders>
            <w:shd w:val="clear" w:color="auto" w:fill="FFFFFF"/>
            <w:vAlign w:val="center"/>
          </w:tcPr>
          <w:p w14:paraId="237DB4E4" w14:textId="77777777" w:rsidR="00D3751E" w:rsidRPr="00C30D81" w:rsidRDefault="00D3751E" w:rsidP="00623631">
            <w:pPr>
              <w:pStyle w:val="Bodytext20"/>
              <w:shd w:val="clear" w:color="auto" w:fill="auto"/>
              <w:spacing w:line="244" w:lineRule="exact"/>
              <w:ind w:firstLine="0"/>
              <w:rPr>
                <w:rFonts w:asciiTheme="minorHAnsi" w:hAnsiTheme="minorHAnsi" w:cstheme="minorHAnsi"/>
                <w:sz w:val="21"/>
                <w:szCs w:val="21"/>
              </w:rPr>
            </w:pPr>
            <w:r w:rsidRPr="00C30D81">
              <w:rPr>
                <w:rFonts w:asciiTheme="minorHAnsi" w:hAnsiTheme="minorHAnsi" w:cstheme="minorHAnsi"/>
                <w:sz w:val="21"/>
                <w:szCs w:val="21"/>
              </w:rPr>
              <w:t>3</w:t>
            </w:r>
          </w:p>
        </w:tc>
        <w:tc>
          <w:tcPr>
            <w:tcW w:w="845" w:type="dxa"/>
            <w:tcBorders>
              <w:top w:val="single" w:sz="4" w:space="0" w:color="auto"/>
              <w:left w:val="single" w:sz="4" w:space="0" w:color="auto"/>
            </w:tcBorders>
            <w:shd w:val="clear" w:color="auto" w:fill="FFFFFF"/>
            <w:vAlign w:val="center"/>
          </w:tcPr>
          <w:p w14:paraId="2891514B" w14:textId="77777777" w:rsidR="00D3751E" w:rsidRPr="00C30D81" w:rsidRDefault="00D3751E" w:rsidP="00623631">
            <w:pPr>
              <w:pStyle w:val="Bodytext20"/>
              <w:shd w:val="clear" w:color="auto" w:fill="auto"/>
              <w:spacing w:line="244" w:lineRule="exact"/>
              <w:ind w:left="300" w:firstLine="0"/>
              <w:jc w:val="left"/>
              <w:rPr>
                <w:rFonts w:asciiTheme="minorHAnsi" w:hAnsiTheme="minorHAnsi" w:cstheme="minorHAnsi"/>
                <w:sz w:val="21"/>
                <w:szCs w:val="21"/>
              </w:rPr>
            </w:pPr>
          </w:p>
        </w:tc>
        <w:tc>
          <w:tcPr>
            <w:tcW w:w="845" w:type="dxa"/>
            <w:tcBorders>
              <w:top w:val="single" w:sz="4" w:space="0" w:color="auto"/>
              <w:left w:val="single" w:sz="4" w:space="0" w:color="auto"/>
            </w:tcBorders>
            <w:shd w:val="clear" w:color="auto" w:fill="FFFFFF"/>
            <w:vAlign w:val="center"/>
          </w:tcPr>
          <w:p w14:paraId="69E86224" w14:textId="77777777" w:rsidR="00D3751E" w:rsidRPr="00C30D81" w:rsidRDefault="00D3751E" w:rsidP="00623631">
            <w:pPr>
              <w:pStyle w:val="Bodytext20"/>
              <w:shd w:val="clear" w:color="auto" w:fill="auto"/>
              <w:spacing w:line="244" w:lineRule="exact"/>
              <w:ind w:firstLine="0"/>
              <w:rPr>
                <w:rFonts w:asciiTheme="minorHAnsi" w:hAnsiTheme="minorHAnsi" w:cstheme="minorHAnsi"/>
                <w:sz w:val="21"/>
                <w:szCs w:val="21"/>
              </w:rPr>
            </w:pPr>
            <w:r w:rsidRPr="00C30D81">
              <w:rPr>
                <w:rFonts w:asciiTheme="minorHAnsi" w:hAnsiTheme="minorHAnsi" w:cstheme="minorHAnsi"/>
                <w:sz w:val="21"/>
                <w:szCs w:val="21"/>
              </w:rPr>
              <w:t>4</w:t>
            </w:r>
          </w:p>
        </w:tc>
        <w:tc>
          <w:tcPr>
            <w:tcW w:w="850" w:type="dxa"/>
            <w:tcBorders>
              <w:top w:val="single" w:sz="4" w:space="0" w:color="auto"/>
              <w:left w:val="single" w:sz="4" w:space="0" w:color="auto"/>
            </w:tcBorders>
            <w:shd w:val="clear" w:color="auto" w:fill="FFFFFF"/>
            <w:vAlign w:val="center"/>
          </w:tcPr>
          <w:p w14:paraId="1309EC40" w14:textId="77777777" w:rsidR="00D3751E" w:rsidRPr="00C30D81" w:rsidRDefault="00D3751E" w:rsidP="00623631">
            <w:pPr>
              <w:pStyle w:val="Bodytext20"/>
              <w:shd w:val="clear" w:color="auto" w:fill="auto"/>
              <w:spacing w:line="244" w:lineRule="exact"/>
              <w:ind w:left="300" w:firstLine="0"/>
              <w:jc w:val="left"/>
              <w:rPr>
                <w:rFonts w:asciiTheme="minorHAnsi" w:hAnsiTheme="minorHAnsi" w:cstheme="minorHAnsi"/>
                <w:sz w:val="21"/>
                <w:szCs w:val="21"/>
              </w:rPr>
            </w:pPr>
          </w:p>
        </w:tc>
        <w:tc>
          <w:tcPr>
            <w:tcW w:w="1152" w:type="dxa"/>
            <w:tcBorders>
              <w:top w:val="single" w:sz="4" w:space="0" w:color="auto"/>
              <w:left w:val="single" w:sz="4" w:space="0" w:color="auto"/>
            </w:tcBorders>
            <w:shd w:val="clear" w:color="auto" w:fill="FFFFFF"/>
            <w:vAlign w:val="center"/>
          </w:tcPr>
          <w:p w14:paraId="7EB91FAC" w14:textId="77777777" w:rsidR="00D3751E" w:rsidRPr="00C30D81" w:rsidRDefault="00D3751E" w:rsidP="00623631">
            <w:pPr>
              <w:pStyle w:val="Bodytext20"/>
              <w:shd w:val="clear" w:color="auto" w:fill="auto"/>
              <w:spacing w:line="244" w:lineRule="exact"/>
              <w:ind w:firstLine="0"/>
              <w:rPr>
                <w:rFonts w:asciiTheme="minorHAnsi" w:hAnsiTheme="minorHAnsi" w:cstheme="minorHAnsi"/>
                <w:sz w:val="21"/>
                <w:szCs w:val="21"/>
              </w:rPr>
            </w:pPr>
            <w:r w:rsidRPr="00C30D81">
              <w:rPr>
                <w:rFonts w:asciiTheme="minorHAnsi" w:hAnsiTheme="minorHAnsi" w:cstheme="minorHAnsi"/>
                <w:sz w:val="21"/>
                <w:szCs w:val="21"/>
              </w:rPr>
              <w:t>5</w:t>
            </w:r>
          </w:p>
        </w:tc>
        <w:tc>
          <w:tcPr>
            <w:tcW w:w="1128" w:type="dxa"/>
            <w:tcBorders>
              <w:top w:val="single" w:sz="4" w:space="0" w:color="auto"/>
              <w:left w:val="single" w:sz="4" w:space="0" w:color="auto"/>
              <w:right w:val="single" w:sz="4" w:space="0" w:color="auto"/>
            </w:tcBorders>
            <w:shd w:val="clear" w:color="auto" w:fill="FFFFFF"/>
            <w:vAlign w:val="center"/>
          </w:tcPr>
          <w:p w14:paraId="1F01142E" w14:textId="77777777" w:rsidR="00D3751E" w:rsidRPr="00C30D81" w:rsidRDefault="00D3751E" w:rsidP="00623631">
            <w:pPr>
              <w:pStyle w:val="Bodytext20"/>
              <w:shd w:val="clear" w:color="auto" w:fill="auto"/>
              <w:spacing w:line="244" w:lineRule="exact"/>
              <w:ind w:left="160" w:firstLine="0"/>
              <w:jc w:val="left"/>
              <w:rPr>
                <w:rFonts w:asciiTheme="minorHAnsi" w:hAnsiTheme="minorHAnsi" w:cstheme="minorHAnsi"/>
                <w:sz w:val="21"/>
                <w:szCs w:val="21"/>
              </w:rPr>
            </w:pPr>
            <w:r w:rsidRPr="00C30D81">
              <w:rPr>
                <w:rFonts w:asciiTheme="minorHAnsi" w:hAnsiTheme="minorHAnsi" w:cstheme="minorHAnsi"/>
                <w:sz w:val="21"/>
                <w:szCs w:val="21"/>
              </w:rPr>
              <w:t>6=1 + 5</w:t>
            </w:r>
          </w:p>
        </w:tc>
      </w:tr>
      <w:tr w:rsidR="00D3751E" w:rsidRPr="00C30D81" w14:paraId="432AB832" w14:textId="77777777" w:rsidTr="00623631">
        <w:trPr>
          <w:trHeight w:hRule="exact" w:val="672"/>
        </w:trPr>
        <w:tc>
          <w:tcPr>
            <w:tcW w:w="1195" w:type="dxa"/>
            <w:tcBorders>
              <w:top w:val="single" w:sz="4" w:space="0" w:color="auto"/>
              <w:left w:val="single" w:sz="4" w:space="0" w:color="auto"/>
            </w:tcBorders>
            <w:shd w:val="clear" w:color="auto" w:fill="FFFFFF"/>
            <w:vAlign w:val="bottom"/>
          </w:tcPr>
          <w:p w14:paraId="6AA0E09F" w14:textId="77777777" w:rsidR="00D3751E" w:rsidRPr="00C30D81" w:rsidRDefault="00D3751E" w:rsidP="00623631">
            <w:pPr>
              <w:pStyle w:val="Bodytext20"/>
              <w:shd w:val="clear" w:color="auto" w:fill="auto"/>
              <w:ind w:firstLine="0"/>
              <w:jc w:val="left"/>
              <w:rPr>
                <w:rFonts w:asciiTheme="minorHAnsi" w:hAnsiTheme="minorHAnsi" w:cstheme="minorHAnsi"/>
                <w:sz w:val="21"/>
                <w:szCs w:val="21"/>
              </w:rPr>
            </w:pPr>
            <w:r w:rsidRPr="00C30D81">
              <w:rPr>
                <w:rFonts w:asciiTheme="minorHAnsi" w:hAnsiTheme="minorHAnsi" w:cstheme="minorHAnsi"/>
                <w:sz w:val="21"/>
                <w:szCs w:val="21"/>
              </w:rPr>
              <w:t xml:space="preserve">Lider de </w:t>
            </w:r>
            <w:proofErr w:type="spellStart"/>
            <w:r w:rsidRPr="00C30D81">
              <w:rPr>
                <w:rFonts w:asciiTheme="minorHAnsi" w:hAnsiTheme="minorHAnsi" w:cstheme="minorHAnsi"/>
                <w:sz w:val="21"/>
                <w:szCs w:val="21"/>
              </w:rPr>
              <w:t>parteneriat</w:t>
            </w:r>
            <w:proofErr w:type="spellEnd"/>
          </w:p>
        </w:tc>
        <w:tc>
          <w:tcPr>
            <w:tcW w:w="1152" w:type="dxa"/>
            <w:tcBorders>
              <w:top w:val="single" w:sz="4" w:space="0" w:color="auto"/>
              <w:left w:val="single" w:sz="4" w:space="0" w:color="auto"/>
            </w:tcBorders>
            <w:shd w:val="clear" w:color="auto" w:fill="FFFFFF"/>
          </w:tcPr>
          <w:p w14:paraId="38D63251" w14:textId="77777777" w:rsidR="00D3751E" w:rsidRPr="00C30D81" w:rsidRDefault="00D3751E" w:rsidP="00623631">
            <w:pPr>
              <w:rPr>
                <w:rFonts w:asciiTheme="minorHAnsi" w:hAnsiTheme="minorHAnsi" w:cstheme="minorHAnsi"/>
                <w:sz w:val="21"/>
                <w:szCs w:val="21"/>
              </w:rPr>
            </w:pPr>
          </w:p>
        </w:tc>
        <w:tc>
          <w:tcPr>
            <w:tcW w:w="1138" w:type="dxa"/>
            <w:tcBorders>
              <w:top w:val="single" w:sz="4" w:space="0" w:color="auto"/>
              <w:left w:val="single" w:sz="4" w:space="0" w:color="auto"/>
            </w:tcBorders>
            <w:shd w:val="clear" w:color="auto" w:fill="FFFFFF"/>
          </w:tcPr>
          <w:p w14:paraId="0C551F40" w14:textId="77777777" w:rsidR="00D3751E" w:rsidRPr="00C30D81" w:rsidRDefault="00D3751E" w:rsidP="00623631">
            <w:pPr>
              <w:rPr>
                <w:rFonts w:asciiTheme="minorHAnsi" w:hAnsiTheme="minorHAnsi" w:cstheme="minorHAnsi"/>
                <w:sz w:val="21"/>
                <w:szCs w:val="21"/>
              </w:rPr>
            </w:pPr>
          </w:p>
        </w:tc>
        <w:tc>
          <w:tcPr>
            <w:tcW w:w="1094" w:type="dxa"/>
            <w:tcBorders>
              <w:top w:val="single" w:sz="4" w:space="0" w:color="auto"/>
              <w:left w:val="single" w:sz="4" w:space="0" w:color="auto"/>
            </w:tcBorders>
            <w:shd w:val="clear" w:color="auto" w:fill="FFFFFF"/>
          </w:tcPr>
          <w:p w14:paraId="389C9B37" w14:textId="77777777" w:rsidR="00D3751E" w:rsidRPr="00C30D81" w:rsidRDefault="00D3751E" w:rsidP="00623631">
            <w:pPr>
              <w:rPr>
                <w:rFonts w:asciiTheme="minorHAnsi" w:hAnsiTheme="minorHAnsi" w:cstheme="minorHAnsi"/>
                <w:sz w:val="21"/>
                <w:szCs w:val="21"/>
              </w:rPr>
            </w:pPr>
          </w:p>
        </w:tc>
        <w:tc>
          <w:tcPr>
            <w:tcW w:w="850" w:type="dxa"/>
            <w:tcBorders>
              <w:top w:val="single" w:sz="4" w:space="0" w:color="auto"/>
              <w:left w:val="single" w:sz="4" w:space="0" w:color="auto"/>
            </w:tcBorders>
            <w:shd w:val="clear" w:color="auto" w:fill="FFFFFF"/>
          </w:tcPr>
          <w:p w14:paraId="6AFB52F6" w14:textId="77777777" w:rsidR="00D3751E" w:rsidRPr="00C30D81" w:rsidRDefault="00D3751E" w:rsidP="00623631">
            <w:pPr>
              <w:rPr>
                <w:rFonts w:asciiTheme="minorHAnsi" w:hAnsiTheme="minorHAnsi" w:cstheme="minorHAnsi"/>
                <w:sz w:val="21"/>
                <w:szCs w:val="21"/>
              </w:rPr>
            </w:pPr>
          </w:p>
        </w:tc>
        <w:tc>
          <w:tcPr>
            <w:tcW w:w="845" w:type="dxa"/>
            <w:tcBorders>
              <w:top w:val="single" w:sz="4" w:space="0" w:color="auto"/>
              <w:left w:val="single" w:sz="4" w:space="0" w:color="auto"/>
            </w:tcBorders>
            <w:shd w:val="clear" w:color="auto" w:fill="FFFFFF"/>
          </w:tcPr>
          <w:p w14:paraId="46AA9A3B" w14:textId="77777777" w:rsidR="00D3751E" w:rsidRPr="00C30D81" w:rsidRDefault="00D3751E" w:rsidP="00623631">
            <w:pPr>
              <w:rPr>
                <w:rFonts w:asciiTheme="minorHAnsi" w:hAnsiTheme="minorHAnsi" w:cstheme="minorHAnsi"/>
                <w:sz w:val="21"/>
                <w:szCs w:val="21"/>
              </w:rPr>
            </w:pPr>
          </w:p>
        </w:tc>
        <w:tc>
          <w:tcPr>
            <w:tcW w:w="845" w:type="dxa"/>
            <w:tcBorders>
              <w:top w:val="single" w:sz="4" w:space="0" w:color="auto"/>
              <w:left w:val="single" w:sz="4" w:space="0" w:color="auto"/>
            </w:tcBorders>
            <w:shd w:val="clear" w:color="auto" w:fill="FFFFFF"/>
          </w:tcPr>
          <w:p w14:paraId="19EBB4CF" w14:textId="77777777" w:rsidR="00D3751E" w:rsidRPr="00C30D81" w:rsidRDefault="00D3751E" w:rsidP="00623631">
            <w:pPr>
              <w:rPr>
                <w:rFonts w:asciiTheme="minorHAnsi" w:hAnsiTheme="minorHAnsi" w:cstheme="minorHAnsi"/>
                <w:sz w:val="21"/>
                <w:szCs w:val="21"/>
              </w:rPr>
            </w:pPr>
          </w:p>
        </w:tc>
        <w:tc>
          <w:tcPr>
            <w:tcW w:w="850" w:type="dxa"/>
            <w:tcBorders>
              <w:top w:val="single" w:sz="4" w:space="0" w:color="auto"/>
              <w:left w:val="single" w:sz="4" w:space="0" w:color="auto"/>
            </w:tcBorders>
            <w:shd w:val="clear" w:color="auto" w:fill="FFFFFF"/>
          </w:tcPr>
          <w:p w14:paraId="028427D8" w14:textId="77777777" w:rsidR="00D3751E" w:rsidRPr="00C30D81" w:rsidRDefault="00D3751E" w:rsidP="00623631">
            <w:pPr>
              <w:rPr>
                <w:rFonts w:asciiTheme="minorHAnsi" w:hAnsiTheme="minorHAnsi" w:cstheme="minorHAnsi"/>
                <w:sz w:val="21"/>
                <w:szCs w:val="21"/>
              </w:rPr>
            </w:pPr>
          </w:p>
        </w:tc>
        <w:tc>
          <w:tcPr>
            <w:tcW w:w="1152" w:type="dxa"/>
            <w:tcBorders>
              <w:top w:val="single" w:sz="4" w:space="0" w:color="auto"/>
              <w:left w:val="single" w:sz="4" w:space="0" w:color="auto"/>
            </w:tcBorders>
            <w:shd w:val="clear" w:color="auto" w:fill="FFFFFF"/>
          </w:tcPr>
          <w:p w14:paraId="22F93741" w14:textId="77777777" w:rsidR="00D3751E" w:rsidRPr="00C30D81" w:rsidRDefault="00D3751E" w:rsidP="00623631">
            <w:pPr>
              <w:rPr>
                <w:rFonts w:asciiTheme="minorHAnsi" w:hAnsiTheme="minorHAnsi" w:cstheme="minorHAnsi"/>
                <w:sz w:val="21"/>
                <w:szCs w:val="21"/>
              </w:rPr>
            </w:pPr>
          </w:p>
        </w:tc>
        <w:tc>
          <w:tcPr>
            <w:tcW w:w="1128" w:type="dxa"/>
            <w:tcBorders>
              <w:top w:val="single" w:sz="4" w:space="0" w:color="auto"/>
              <w:left w:val="single" w:sz="4" w:space="0" w:color="auto"/>
              <w:right w:val="single" w:sz="4" w:space="0" w:color="auto"/>
            </w:tcBorders>
            <w:shd w:val="clear" w:color="auto" w:fill="FFFFFF"/>
          </w:tcPr>
          <w:p w14:paraId="4DC96B6B" w14:textId="77777777" w:rsidR="00D3751E" w:rsidRPr="00C30D81" w:rsidRDefault="00D3751E" w:rsidP="00623631">
            <w:pPr>
              <w:rPr>
                <w:rFonts w:asciiTheme="minorHAnsi" w:hAnsiTheme="minorHAnsi" w:cstheme="minorHAnsi"/>
                <w:sz w:val="21"/>
                <w:szCs w:val="21"/>
              </w:rPr>
            </w:pPr>
          </w:p>
        </w:tc>
      </w:tr>
      <w:tr w:rsidR="00D3751E" w:rsidRPr="00C30D81" w14:paraId="6453930F" w14:textId="77777777" w:rsidTr="00623631">
        <w:trPr>
          <w:trHeight w:hRule="exact" w:val="965"/>
        </w:trPr>
        <w:tc>
          <w:tcPr>
            <w:tcW w:w="1195" w:type="dxa"/>
            <w:tcBorders>
              <w:top w:val="single" w:sz="4" w:space="0" w:color="auto"/>
              <w:left w:val="single" w:sz="4" w:space="0" w:color="auto"/>
            </w:tcBorders>
            <w:shd w:val="clear" w:color="auto" w:fill="FFFFFF"/>
            <w:vAlign w:val="bottom"/>
          </w:tcPr>
          <w:p w14:paraId="58E92536" w14:textId="77777777" w:rsidR="00D3751E" w:rsidRPr="00C30D81" w:rsidRDefault="00D3751E" w:rsidP="00623631">
            <w:pPr>
              <w:pStyle w:val="Bodytext20"/>
              <w:shd w:val="clear" w:color="auto" w:fill="auto"/>
              <w:ind w:firstLine="0"/>
              <w:jc w:val="left"/>
              <w:rPr>
                <w:rFonts w:asciiTheme="minorHAnsi" w:hAnsiTheme="minorHAnsi" w:cstheme="minorHAnsi"/>
                <w:sz w:val="21"/>
                <w:szCs w:val="21"/>
              </w:rPr>
            </w:pPr>
            <w:proofErr w:type="spellStart"/>
            <w:r w:rsidRPr="00C30D81">
              <w:rPr>
                <w:rFonts w:asciiTheme="minorHAnsi" w:hAnsiTheme="minorHAnsi" w:cstheme="minorHAnsi"/>
                <w:sz w:val="21"/>
                <w:szCs w:val="21"/>
              </w:rPr>
              <w:t>Partener</w:t>
            </w:r>
            <w:proofErr w:type="spellEnd"/>
            <w:r w:rsidRPr="00C30D81">
              <w:rPr>
                <w:rFonts w:asciiTheme="minorHAnsi" w:hAnsiTheme="minorHAnsi" w:cstheme="minorHAnsi"/>
                <w:sz w:val="21"/>
                <w:szCs w:val="21"/>
              </w:rPr>
              <w:t xml:space="preserve"> 1, </w:t>
            </w:r>
            <w:proofErr w:type="spellStart"/>
            <w:r w:rsidRPr="00C30D81">
              <w:rPr>
                <w:rFonts w:asciiTheme="minorHAnsi" w:hAnsiTheme="minorHAnsi" w:cstheme="minorHAnsi"/>
                <w:sz w:val="21"/>
                <w:szCs w:val="21"/>
              </w:rPr>
              <w:t>dacă</w:t>
            </w:r>
            <w:proofErr w:type="spellEnd"/>
            <w:r w:rsidRPr="00C30D81">
              <w:rPr>
                <w:rFonts w:asciiTheme="minorHAnsi" w:hAnsiTheme="minorHAnsi" w:cstheme="minorHAnsi"/>
                <w:sz w:val="21"/>
                <w:szCs w:val="21"/>
              </w:rPr>
              <w:t xml:space="preserve"> </w:t>
            </w:r>
            <w:proofErr w:type="spellStart"/>
            <w:r w:rsidRPr="00C30D81">
              <w:rPr>
                <w:rFonts w:asciiTheme="minorHAnsi" w:hAnsiTheme="minorHAnsi" w:cstheme="minorHAnsi"/>
                <w:sz w:val="21"/>
                <w:szCs w:val="21"/>
              </w:rPr>
              <w:t>este</w:t>
            </w:r>
            <w:proofErr w:type="spellEnd"/>
            <w:r w:rsidRPr="00C30D81">
              <w:rPr>
                <w:rFonts w:asciiTheme="minorHAnsi" w:hAnsiTheme="minorHAnsi" w:cstheme="minorHAnsi"/>
                <w:sz w:val="21"/>
                <w:szCs w:val="21"/>
              </w:rPr>
              <w:t xml:space="preserve"> </w:t>
            </w:r>
            <w:proofErr w:type="spellStart"/>
            <w:r w:rsidRPr="00C30D81">
              <w:rPr>
                <w:rFonts w:asciiTheme="minorHAnsi" w:hAnsiTheme="minorHAnsi" w:cstheme="minorHAnsi"/>
                <w:sz w:val="21"/>
                <w:szCs w:val="21"/>
              </w:rPr>
              <w:t>cazul</w:t>
            </w:r>
            <w:proofErr w:type="spellEnd"/>
          </w:p>
        </w:tc>
        <w:tc>
          <w:tcPr>
            <w:tcW w:w="1152" w:type="dxa"/>
            <w:tcBorders>
              <w:top w:val="single" w:sz="4" w:space="0" w:color="auto"/>
              <w:left w:val="single" w:sz="4" w:space="0" w:color="auto"/>
            </w:tcBorders>
            <w:shd w:val="clear" w:color="auto" w:fill="FFFFFF"/>
          </w:tcPr>
          <w:p w14:paraId="03457AA9" w14:textId="77777777" w:rsidR="00D3751E" w:rsidRPr="00C30D81" w:rsidRDefault="00D3751E" w:rsidP="00623631">
            <w:pPr>
              <w:rPr>
                <w:rFonts w:asciiTheme="minorHAnsi" w:hAnsiTheme="minorHAnsi" w:cstheme="minorHAnsi"/>
                <w:sz w:val="21"/>
                <w:szCs w:val="21"/>
              </w:rPr>
            </w:pPr>
          </w:p>
        </w:tc>
        <w:tc>
          <w:tcPr>
            <w:tcW w:w="1138" w:type="dxa"/>
            <w:tcBorders>
              <w:top w:val="single" w:sz="4" w:space="0" w:color="auto"/>
              <w:left w:val="single" w:sz="4" w:space="0" w:color="auto"/>
            </w:tcBorders>
            <w:shd w:val="clear" w:color="auto" w:fill="FFFFFF"/>
          </w:tcPr>
          <w:p w14:paraId="1B7F6A68" w14:textId="77777777" w:rsidR="00D3751E" w:rsidRPr="00C30D81" w:rsidRDefault="00D3751E" w:rsidP="00623631">
            <w:pPr>
              <w:rPr>
                <w:rFonts w:asciiTheme="minorHAnsi" w:hAnsiTheme="minorHAnsi" w:cstheme="minorHAnsi"/>
                <w:sz w:val="21"/>
                <w:szCs w:val="21"/>
              </w:rPr>
            </w:pPr>
          </w:p>
        </w:tc>
        <w:tc>
          <w:tcPr>
            <w:tcW w:w="1094" w:type="dxa"/>
            <w:tcBorders>
              <w:top w:val="single" w:sz="4" w:space="0" w:color="auto"/>
              <w:left w:val="single" w:sz="4" w:space="0" w:color="auto"/>
            </w:tcBorders>
            <w:shd w:val="clear" w:color="auto" w:fill="FFFFFF"/>
          </w:tcPr>
          <w:p w14:paraId="0221D66E" w14:textId="77777777" w:rsidR="00D3751E" w:rsidRPr="00C30D81" w:rsidRDefault="00D3751E" w:rsidP="00623631">
            <w:pPr>
              <w:rPr>
                <w:rFonts w:asciiTheme="minorHAnsi" w:hAnsiTheme="minorHAnsi" w:cstheme="minorHAnsi"/>
                <w:sz w:val="21"/>
                <w:szCs w:val="21"/>
              </w:rPr>
            </w:pPr>
          </w:p>
        </w:tc>
        <w:tc>
          <w:tcPr>
            <w:tcW w:w="850" w:type="dxa"/>
            <w:tcBorders>
              <w:top w:val="single" w:sz="4" w:space="0" w:color="auto"/>
              <w:left w:val="single" w:sz="4" w:space="0" w:color="auto"/>
            </w:tcBorders>
            <w:shd w:val="clear" w:color="auto" w:fill="FFFFFF"/>
          </w:tcPr>
          <w:p w14:paraId="672BD861" w14:textId="77777777" w:rsidR="00D3751E" w:rsidRPr="00C30D81" w:rsidRDefault="00D3751E" w:rsidP="00623631">
            <w:pPr>
              <w:rPr>
                <w:rFonts w:asciiTheme="minorHAnsi" w:hAnsiTheme="minorHAnsi" w:cstheme="minorHAnsi"/>
                <w:sz w:val="21"/>
                <w:szCs w:val="21"/>
              </w:rPr>
            </w:pPr>
          </w:p>
        </w:tc>
        <w:tc>
          <w:tcPr>
            <w:tcW w:w="845" w:type="dxa"/>
            <w:tcBorders>
              <w:top w:val="single" w:sz="4" w:space="0" w:color="auto"/>
              <w:left w:val="single" w:sz="4" w:space="0" w:color="auto"/>
            </w:tcBorders>
            <w:shd w:val="clear" w:color="auto" w:fill="FFFFFF"/>
          </w:tcPr>
          <w:p w14:paraId="1818F7B4" w14:textId="77777777" w:rsidR="00D3751E" w:rsidRPr="00C30D81" w:rsidRDefault="00D3751E" w:rsidP="00623631">
            <w:pPr>
              <w:rPr>
                <w:rFonts w:asciiTheme="minorHAnsi" w:hAnsiTheme="minorHAnsi" w:cstheme="minorHAnsi"/>
                <w:sz w:val="21"/>
                <w:szCs w:val="21"/>
              </w:rPr>
            </w:pPr>
          </w:p>
        </w:tc>
        <w:tc>
          <w:tcPr>
            <w:tcW w:w="845" w:type="dxa"/>
            <w:tcBorders>
              <w:top w:val="single" w:sz="4" w:space="0" w:color="auto"/>
              <w:left w:val="single" w:sz="4" w:space="0" w:color="auto"/>
            </w:tcBorders>
            <w:shd w:val="clear" w:color="auto" w:fill="FFFFFF"/>
          </w:tcPr>
          <w:p w14:paraId="10E3858B" w14:textId="77777777" w:rsidR="00D3751E" w:rsidRPr="00C30D81" w:rsidRDefault="00D3751E" w:rsidP="00623631">
            <w:pPr>
              <w:rPr>
                <w:rFonts w:asciiTheme="minorHAnsi" w:hAnsiTheme="minorHAnsi" w:cstheme="minorHAnsi"/>
                <w:sz w:val="21"/>
                <w:szCs w:val="21"/>
              </w:rPr>
            </w:pPr>
          </w:p>
        </w:tc>
        <w:tc>
          <w:tcPr>
            <w:tcW w:w="850" w:type="dxa"/>
            <w:tcBorders>
              <w:top w:val="single" w:sz="4" w:space="0" w:color="auto"/>
              <w:left w:val="single" w:sz="4" w:space="0" w:color="auto"/>
            </w:tcBorders>
            <w:shd w:val="clear" w:color="auto" w:fill="FFFFFF"/>
          </w:tcPr>
          <w:p w14:paraId="0386CE1C" w14:textId="77777777" w:rsidR="00D3751E" w:rsidRPr="00C30D81" w:rsidRDefault="00D3751E" w:rsidP="00623631">
            <w:pPr>
              <w:rPr>
                <w:rFonts w:asciiTheme="minorHAnsi" w:hAnsiTheme="minorHAnsi" w:cstheme="minorHAnsi"/>
                <w:sz w:val="21"/>
                <w:szCs w:val="21"/>
              </w:rPr>
            </w:pPr>
          </w:p>
        </w:tc>
        <w:tc>
          <w:tcPr>
            <w:tcW w:w="1152" w:type="dxa"/>
            <w:tcBorders>
              <w:top w:val="single" w:sz="4" w:space="0" w:color="auto"/>
              <w:left w:val="single" w:sz="4" w:space="0" w:color="auto"/>
            </w:tcBorders>
            <w:shd w:val="clear" w:color="auto" w:fill="FFFFFF"/>
          </w:tcPr>
          <w:p w14:paraId="659DCCE1" w14:textId="77777777" w:rsidR="00D3751E" w:rsidRPr="00C30D81" w:rsidRDefault="00D3751E" w:rsidP="00623631">
            <w:pPr>
              <w:rPr>
                <w:rFonts w:asciiTheme="minorHAnsi" w:hAnsiTheme="minorHAnsi" w:cstheme="minorHAnsi"/>
                <w:sz w:val="21"/>
                <w:szCs w:val="21"/>
              </w:rPr>
            </w:pPr>
          </w:p>
        </w:tc>
        <w:tc>
          <w:tcPr>
            <w:tcW w:w="1128" w:type="dxa"/>
            <w:tcBorders>
              <w:top w:val="single" w:sz="4" w:space="0" w:color="auto"/>
              <w:left w:val="single" w:sz="4" w:space="0" w:color="auto"/>
              <w:right w:val="single" w:sz="4" w:space="0" w:color="auto"/>
            </w:tcBorders>
            <w:shd w:val="clear" w:color="auto" w:fill="FFFFFF"/>
          </w:tcPr>
          <w:p w14:paraId="71C9C33B" w14:textId="77777777" w:rsidR="00D3751E" w:rsidRPr="00C30D81" w:rsidRDefault="00D3751E" w:rsidP="00623631">
            <w:pPr>
              <w:rPr>
                <w:rFonts w:asciiTheme="minorHAnsi" w:hAnsiTheme="minorHAnsi" w:cstheme="minorHAnsi"/>
                <w:sz w:val="21"/>
                <w:szCs w:val="21"/>
              </w:rPr>
            </w:pPr>
          </w:p>
        </w:tc>
      </w:tr>
      <w:tr w:rsidR="00D3751E" w:rsidRPr="006F1859" w14:paraId="2CD70A45" w14:textId="77777777" w:rsidTr="00623631">
        <w:trPr>
          <w:trHeight w:hRule="exact" w:val="960"/>
        </w:trPr>
        <w:tc>
          <w:tcPr>
            <w:tcW w:w="1195" w:type="dxa"/>
            <w:tcBorders>
              <w:top w:val="single" w:sz="4" w:space="0" w:color="auto"/>
              <w:left w:val="single" w:sz="4" w:space="0" w:color="auto"/>
            </w:tcBorders>
            <w:shd w:val="clear" w:color="auto" w:fill="FFFFFF"/>
            <w:vAlign w:val="bottom"/>
          </w:tcPr>
          <w:p w14:paraId="753DA48D" w14:textId="77777777" w:rsidR="00D3751E" w:rsidRPr="00D3751E" w:rsidRDefault="00D3751E" w:rsidP="00623631">
            <w:pPr>
              <w:pStyle w:val="Bodytext20"/>
              <w:shd w:val="clear" w:color="auto" w:fill="auto"/>
              <w:spacing w:line="293" w:lineRule="exact"/>
              <w:ind w:firstLine="0"/>
              <w:jc w:val="left"/>
              <w:rPr>
                <w:rFonts w:asciiTheme="minorHAnsi" w:hAnsiTheme="minorHAnsi" w:cstheme="minorHAnsi"/>
                <w:sz w:val="21"/>
                <w:szCs w:val="21"/>
                <w:lang w:val="it-IT"/>
              </w:rPr>
            </w:pPr>
            <w:r w:rsidRPr="00D3751E">
              <w:rPr>
                <w:rFonts w:asciiTheme="minorHAnsi" w:hAnsiTheme="minorHAnsi" w:cstheme="minorHAnsi"/>
                <w:sz w:val="21"/>
                <w:szCs w:val="21"/>
                <w:lang w:val="it-IT"/>
              </w:rPr>
              <w:t>Partener n, dacă este cazul</w:t>
            </w:r>
          </w:p>
        </w:tc>
        <w:tc>
          <w:tcPr>
            <w:tcW w:w="1152" w:type="dxa"/>
            <w:tcBorders>
              <w:top w:val="single" w:sz="4" w:space="0" w:color="auto"/>
              <w:left w:val="single" w:sz="4" w:space="0" w:color="auto"/>
            </w:tcBorders>
            <w:shd w:val="clear" w:color="auto" w:fill="FFFFFF"/>
          </w:tcPr>
          <w:p w14:paraId="58DEA9F6" w14:textId="77777777" w:rsidR="00D3751E" w:rsidRPr="00D3751E" w:rsidRDefault="00D3751E" w:rsidP="00623631">
            <w:pPr>
              <w:rPr>
                <w:rFonts w:asciiTheme="minorHAnsi" w:hAnsiTheme="minorHAnsi" w:cstheme="minorHAnsi"/>
                <w:sz w:val="21"/>
                <w:szCs w:val="21"/>
                <w:lang w:val="it-IT"/>
              </w:rPr>
            </w:pPr>
          </w:p>
        </w:tc>
        <w:tc>
          <w:tcPr>
            <w:tcW w:w="1138" w:type="dxa"/>
            <w:tcBorders>
              <w:top w:val="single" w:sz="4" w:space="0" w:color="auto"/>
              <w:left w:val="single" w:sz="4" w:space="0" w:color="auto"/>
            </w:tcBorders>
            <w:shd w:val="clear" w:color="auto" w:fill="FFFFFF"/>
          </w:tcPr>
          <w:p w14:paraId="712B1C34" w14:textId="77777777" w:rsidR="00D3751E" w:rsidRPr="00D3751E" w:rsidRDefault="00D3751E" w:rsidP="00623631">
            <w:pPr>
              <w:rPr>
                <w:rFonts w:asciiTheme="minorHAnsi" w:hAnsiTheme="minorHAnsi" w:cstheme="minorHAnsi"/>
                <w:sz w:val="21"/>
                <w:szCs w:val="21"/>
                <w:lang w:val="it-IT"/>
              </w:rPr>
            </w:pPr>
          </w:p>
        </w:tc>
        <w:tc>
          <w:tcPr>
            <w:tcW w:w="1094" w:type="dxa"/>
            <w:tcBorders>
              <w:top w:val="single" w:sz="4" w:space="0" w:color="auto"/>
              <w:left w:val="single" w:sz="4" w:space="0" w:color="auto"/>
            </w:tcBorders>
            <w:shd w:val="clear" w:color="auto" w:fill="FFFFFF"/>
          </w:tcPr>
          <w:p w14:paraId="1DE5EEEE" w14:textId="77777777" w:rsidR="00D3751E" w:rsidRPr="00D3751E" w:rsidRDefault="00D3751E" w:rsidP="00623631">
            <w:pPr>
              <w:rPr>
                <w:rFonts w:asciiTheme="minorHAnsi" w:hAnsiTheme="minorHAnsi" w:cstheme="minorHAnsi"/>
                <w:sz w:val="21"/>
                <w:szCs w:val="21"/>
                <w:lang w:val="it-IT"/>
              </w:rPr>
            </w:pPr>
          </w:p>
        </w:tc>
        <w:tc>
          <w:tcPr>
            <w:tcW w:w="850" w:type="dxa"/>
            <w:tcBorders>
              <w:top w:val="single" w:sz="4" w:space="0" w:color="auto"/>
              <w:left w:val="single" w:sz="4" w:space="0" w:color="auto"/>
            </w:tcBorders>
            <w:shd w:val="clear" w:color="auto" w:fill="FFFFFF"/>
          </w:tcPr>
          <w:p w14:paraId="190BD3A4" w14:textId="77777777" w:rsidR="00D3751E" w:rsidRPr="00D3751E" w:rsidRDefault="00D3751E" w:rsidP="00623631">
            <w:pPr>
              <w:rPr>
                <w:rFonts w:asciiTheme="minorHAnsi" w:hAnsiTheme="minorHAnsi" w:cstheme="minorHAnsi"/>
                <w:sz w:val="21"/>
                <w:szCs w:val="21"/>
                <w:lang w:val="it-IT"/>
              </w:rPr>
            </w:pPr>
          </w:p>
        </w:tc>
        <w:tc>
          <w:tcPr>
            <w:tcW w:w="845" w:type="dxa"/>
            <w:tcBorders>
              <w:top w:val="single" w:sz="4" w:space="0" w:color="auto"/>
              <w:left w:val="single" w:sz="4" w:space="0" w:color="auto"/>
            </w:tcBorders>
            <w:shd w:val="clear" w:color="auto" w:fill="FFFFFF"/>
          </w:tcPr>
          <w:p w14:paraId="75C2F060" w14:textId="77777777" w:rsidR="00D3751E" w:rsidRPr="00D3751E" w:rsidRDefault="00D3751E" w:rsidP="00623631">
            <w:pPr>
              <w:rPr>
                <w:rFonts w:asciiTheme="minorHAnsi" w:hAnsiTheme="minorHAnsi" w:cstheme="minorHAnsi"/>
                <w:sz w:val="21"/>
                <w:szCs w:val="21"/>
                <w:lang w:val="it-IT"/>
              </w:rPr>
            </w:pPr>
          </w:p>
        </w:tc>
        <w:tc>
          <w:tcPr>
            <w:tcW w:w="845" w:type="dxa"/>
            <w:tcBorders>
              <w:top w:val="single" w:sz="4" w:space="0" w:color="auto"/>
              <w:left w:val="single" w:sz="4" w:space="0" w:color="auto"/>
            </w:tcBorders>
            <w:shd w:val="clear" w:color="auto" w:fill="FFFFFF"/>
          </w:tcPr>
          <w:p w14:paraId="528C7CBF" w14:textId="77777777" w:rsidR="00D3751E" w:rsidRPr="00D3751E" w:rsidRDefault="00D3751E" w:rsidP="00623631">
            <w:pPr>
              <w:rPr>
                <w:rFonts w:asciiTheme="minorHAnsi" w:hAnsiTheme="minorHAnsi" w:cstheme="minorHAnsi"/>
                <w:sz w:val="21"/>
                <w:szCs w:val="21"/>
                <w:lang w:val="it-IT"/>
              </w:rPr>
            </w:pPr>
          </w:p>
        </w:tc>
        <w:tc>
          <w:tcPr>
            <w:tcW w:w="850" w:type="dxa"/>
            <w:tcBorders>
              <w:top w:val="single" w:sz="4" w:space="0" w:color="auto"/>
              <w:left w:val="single" w:sz="4" w:space="0" w:color="auto"/>
            </w:tcBorders>
            <w:shd w:val="clear" w:color="auto" w:fill="FFFFFF"/>
          </w:tcPr>
          <w:p w14:paraId="729A9E8C" w14:textId="77777777" w:rsidR="00D3751E" w:rsidRPr="00D3751E" w:rsidRDefault="00D3751E" w:rsidP="00623631">
            <w:pPr>
              <w:rPr>
                <w:rFonts w:asciiTheme="minorHAnsi" w:hAnsiTheme="minorHAnsi" w:cstheme="minorHAnsi"/>
                <w:sz w:val="21"/>
                <w:szCs w:val="21"/>
                <w:lang w:val="it-IT"/>
              </w:rPr>
            </w:pPr>
          </w:p>
        </w:tc>
        <w:tc>
          <w:tcPr>
            <w:tcW w:w="1152" w:type="dxa"/>
            <w:tcBorders>
              <w:top w:val="single" w:sz="4" w:space="0" w:color="auto"/>
              <w:left w:val="single" w:sz="4" w:space="0" w:color="auto"/>
            </w:tcBorders>
            <w:shd w:val="clear" w:color="auto" w:fill="FFFFFF"/>
          </w:tcPr>
          <w:p w14:paraId="30C16808" w14:textId="77777777" w:rsidR="00D3751E" w:rsidRPr="00D3751E" w:rsidRDefault="00D3751E" w:rsidP="00623631">
            <w:pPr>
              <w:rPr>
                <w:rFonts w:asciiTheme="minorHAnsi" w:hAnsiTheme="minorHAnsi" w:cstheme="minorHAnsi"/>
                <w:sz w:val="21"/>
                <w:szCs w:val="21"/>
                <w:lang w:val="it-IT"/>
              </w:rPr>
            </w:pPr>
          </w:p>
        </w:tc>
        <w:tc>
          <w:tcPr>
            <w:tcW w:w="1128" w:type="dxa"/>
            <w:tcBorders>
              <w:top w:val="single" w:sz="4" w:space="0" w:color="auto"/>
              <w:left w:val="single" w:sz="4" w:space="0" w:color="auto"/>
              <w:right w:val="single" w:sz="4" w:space="0" w:color="auto"/>
            </w:tcBorders>
            <w:shd w:val="clear" w:color="auto" w:fill="FFFFFF"/>
          </w:tcPr>
          <w:p w14:paraId="06C0C876" w14:textId="77777777" w:rsidR="00D3751E" w:rsidRPr="00D3751E" w:rsidRDefault="00D3751E" w:rsidP="00623631">
            <w:pPr>
              <w:rPr>
                <w:rFonts w:asciiTheme="minorHAnsi" w:hAnsiTheme="minorHAnsi" w:cstheme="minorHAnsi"/>
                <w:sz w:val="21"/>
                <w:szCs w:val="21"/>
                <w:lang w:val="it-IT"/>
              </w:rPr>
            </w:pPr>
          </w:p>
        </w:tc>
      </w:tr>
      <w:tr w:rsidR="00D3751E" w:rsidRPr="00C30D81" w14:paraId="2C670BBC" w14:textId="77777777" w:rsidTr="00623631">
        <w:trPr>
          <w:trHeight w:hRule="exact" w:val="413"/>
        </w:trPr>
        <w:tc>
          <w:tcPr>
            <w:tcW w:w="1195" w:type="dxa"/>
            <w:tcBorders>
              <w:top w:val="single" w:sz="4" w:space="0" w:color="auto"/>
              <w:left w:val="single" w:sz="4" w:space="0" w:color="auto"/>
              <w:bottom w:val="single" w:sz="4" w:space="0" w:color="auto"/>
            </w:tcBorders>
            <w:shd w:val="clear" w:color="auto" w:fill="FFFFFF"/>
            <w:vAlign w:val="center"/>
          </w:tcPr>
          <w:p w14:paraId="50B1C3C5" w14:textId="77777777" w:rsidR="00D3751E" w:rsidRPr="00C30D81" w:rsidRDefault="00D3751E" w:rsidP="00623631">
            <w:pPr>
              <w:pStyle w:val="Bodytext20"/>
              <w:shd w:val="clear" w:color="auto" w:fill="auto"/>
              <w:spacing w:line="244" w:lineRule="exact"/>
              <w:ind w:firstLine="0"/>
              <w:jc w:val="left"/>
              <w:rPr>
                <w:rFonts w:asciiTheme="minorHAnsi" w:hAnsiTheme="minorHAnsi" w:cstheme="minorHAnsi"/>
                <w:sz w:val="21"/>
                <w:szCs w:val="21"/>
              </w:rPr>
            </w:pPr>
            <w:r w:rsidRPr="00C30D81">
              <w:rPr>
                <w:rFonts w:asciiTheme="minorHAnsi" w:hAnsiTheme="minorHAnsi" w:cstheme="minorHAnsi"/>
                <w:sz w:val="21"/>
                <w:szCs w:val="21"/>
              </w:rPr>
              <w:t>TOTAL</w:t>
            </w:r>
          </w:p>
        </w:tc>
        <w:tc>
          <w:tcPr>
            <w:tcW w:w="1152" w:type="dxa"/>
            <w:tcBorders>
              <w:top w:val="single" w:sz="4" w:space="0" w:color="auto"/>
              <w:left w:val="single" w:sz="4" w:space="0" w:color="auto"/>
              <w:bottom w:val="single" w:sz="4" w:space="0" w:color="auto"/>
            </w:tcBorders>
            <w:shd w:val="clear" w:color="auto" w:fill="FFFFFF"/>
          </w:tcPr>
          <w:p w14:paraId="4EB03A14" w14:textId="77777777" w:rsidR="00D3751E" w:rsidRPr="00C30D81" w:rsidRDefault="00D3751E" w:rsidP="00623631">
            <w:pPr>
              <w:rPr>
                <w:rFonts w:asciiTheme="minorHAnsi" w:hAnsiTheme="minorHAnsi" w:cstheme="minorHAnsi"/>
                <w:sz w:val="21"/>
                <w:szCs w:val="21"/>
              </w:rPr>
            </w:pPr>
          </w:p>
        </w:tc>
        <w:tc>
          <w:tcPr>
            <w:tcW w:w="1138" w:type="dxa"/>
            <w:tcBorders>
              <w:top w:val="single" w:sz="4" w:space="0" w:color="auto"/>
              <w:left w:val="single" w:sz="4" w:space="0" w:color="auto"/>
              <w:bottom w:val="single" w:sz="4" w:space="0" w:color="auto"/>
            </w:tcBorders>
            <w:shd w:val="clear" w:color="auto" w:fill="FFFFFF"/>
          </w:tcPr>
          <w:p w14:paraId="59B0DF1D" w14:textId="77777777" w:rsidR="00D3751E" w:rsidRPr="00C30D81" w:rsidRDefault="00D3751E" w:rsidP="00623631">
            <w:pPr>
              <w:rPr>
                <w:rFonts w:asciiTheme="minorHAnsi" w:hAnsiTheme="minorHAnsi" w:cstheme="minorHAnsi"/>
                <w:sz w:val="21"/>
                <w:szCs w:val="21"/>
              </w:rPr>
            </w:pPr>
          </w:p>
        </w:tc>
        <w:tc>
          <w:tcPr>
            <w:tcW w:w="1094" w:type="dxa"/>
            <w:tcBorders>
              <w:top w:val="single" w:sz="4" w:space="0" w:color="auto"/>
              <w:left w:val="single" w:sz="4" w:space="0" w:color="auto"/>
              <w:bottom w:val="single" w:sz="4" w:space="0" w:color="auto"/>
            </w:tcBorders>
            <w:shd w:val="clear" w:color="auto" w:fill="FFFFFF"/>
          </w:tcPr>
          <w:p w14:paraId="716C512B" w14:textId="77777777" w:rsidR="00D3751E" w:rsidRPr="00C30D81" w:rsidRDefault="00D3751E" w:rsidP="00623631">
            <w:pPr>
              <w:rPr>
                <w:rFonts w:asciiTheme="minorHAnsi" w:hAnsiTheme="minorHAnsi" w:cstheme="minorHAnsi"/>
                <w:sz w:val="21"/>
                <w:szCs w:val="21"/>
              </w:rPr>
            </w:pPr>
          </w:p>
        </w:tc>
        <w:tc>
          <w:tcPr>
            <w:tcW w:w="850" w:type="dxa"/>
            <w:tcBorders>
              <w:top w:val="single" w:sz="4" w:space="0" w:color="auto"/>
              <w:left w:val="single" w:sz="4" w:space="0" w:color="auto"/>
              <w:bottom w:val="single" w:sz="4" w:space="0" w:color="auto"/>
            </w:tcBorders>
            <w:shd w:val="clear" w:color="auto" w:fill="FFFFFF"/>
          </w:tcPr>
          <w:p w14:paraId="6372E591" w14:textId="77777777" w:rsidR="00D3751E" w:rsidRPr="00C30D81" w:rsidRDefault="00D3751E" w:rsidP="00623631">
            <w:pPr>
              <w:rPr>
                <w:rFonts w:asciiTheme="minorHAnsi" w:hAnsiTheme="minorHAnsi" w:cstheme="minorHAnsi"/>
                <w:sz w:val="21"/>
                <w:szCs w:val="21"/>
              </w:rPr>
            </w:pPr>
          </w:p>
        </w:tc>
        <w:tc>
          <w:tcPr>
            <w:tcW w:w="845" w:type="dxa"/>
            <w:tcBorders>
              <w:top w:val="single" w:sz="4" w:space="0" w:color="auto"/>
              <w:left w:val="single" w:sz="4" w:space="0" w:color="auto"/>
              <w:bottom w:val="single" w:sz="4" w:space="0" w:color="auto"/>
            </w:tcBorders>
            <w:shd w:val="clear" w:color="auto" w:fill="FFFFFF"/>
          </w:tcPr>
          <w:p w14:paraId="49DDCAC2" w14:textId="77777777" w:rsidR="00D3751E" w:rsidRPr="00C30D81" w:rsidRDefault="00D3751E" w:rsidP="00623631">
            <w:pPr>
              <w:rPr>
                <w:rFonts w:asciiTheme="minorHAnsi" w:hAnsiTheme="minorHAnsi" w:cstheme="minorHAnsi"/>
                <w:sz w:val="21"/>
                <w:szCs w:val="21"/>
              </w:rPr>
            </w:pPr>
          </w:p>
        </w:tc>
        <w:tc>
          <w:tcPr>
            <w:tcW w:w="845" w:type="dxa"/>
            <w:tcBorders>
              <w:top w:val="single" w:sz="4" w:space="0" w:color="auto"/>
              <w:left w:val="single" w:sz="4" w:space="0" w:color="auto"/>
              <w:bottom w:val="single" w:sz="4" w:space="0" w:color="auto"/>
            </w:tcBorders>
            <w:shd w:val="clear" w:color="auto" w:fill="FFFFFF"/>
          </w:tcPr>
          <w:p w14:paraId="5CB86192" w14:textId="77777777" w:rsidR="00D3751E" w:rsidRPr="00C30D81" w:rsidRDefault="00D3751E" w:rsidP="00623631">
            <w:pPr>
              <w:rPr>
                <w:rFonts w:asciiTheme="minorHAnsi" w:hAnsiTheme="minorHAnsi" w:cstheme="minorHAnsi"/>
                <w:sz w:val="21"/>
                <w:szCs w:val="21"/>
              </w:rPr>
            </w:pPr>
          </w:p>
        </w:tc>
        <w:tc>
          <w:tcPr>
            <w:tcW w:w="850" w:type="dxa"/>
            <w:tcBorders>
              <w:top w:val="single" w:sz="4" w:space="0" w:color="auto"/>
              <w:left w:val="single" w:sz="4" w:space="0" w:color="auto"/>
              <w:bottom w:val="single" w:sz="4" w:space="0" w:color="auto"/>
            </w:tcBorders>
            <w:shd w:val="clear" w:color="auto" w:fill="FFFFFF"/>
          </w:tcPr>
          <w:p w14:paraId="288409DD" w14:textId="77777777" w:rsidR="00D3751E" w:rsidRPr="00C30D81" w:rsidRDefault="00D3751E" w:rsidP="00623631">
            <w:pPr>
              <w:rPr>
                <w:rFonts w:asciiTheme="minorHAnsi" w:hAnsiTheme="minorHAnsi" w:cstheme="minorHAnsi"/>
                <w:sz w:val="21"/>
                <w:szCs w:val="21"/>
              </w:rPr>
            </w:pPr>
          </w:p>
        </w:tc>
        <w:tc>
          <w:tcPr>
            <w:tcW w:w="1152" w:type="dxa"/>
            <w:tcBorders>
              <w:top w:val="single" w:sz="4" w:space="0" w:color="auto"/>
              <w:left w:val="single" w:sz="4" w:space="0" w:color="auto"/>
              <w:bottom w:val="single" w:sz="4" w:space="0" w:color="auto"/>
            </w:tcBorders>
            <w:shd w:val="clear" w:color="auto" w:fill="FFFFFF"/>
          </w:tcPr>
          <w:p w14:paraId="6C7B255F" w14:textId="77777777" w:rsidR="00D3751E" w:rsidRPr="00C30D81" w:rsidRDefault="00D3751E" w:rsidP="00623631">
            <w:pPr>
              <w:rPr>
                <w:rFonts w:asciiTheme="minorHAnsi" w:hAnsiTheme="minorHAnsi" w:cstheme="minorHAnsi"/>
                <w:sz w:val="21"/>
                <w:szCs w:val="21"/>
              </w:rPr>
            </w:pPr>
          </w:p>
        </w:tc>
        <w:tc>
          <w:tcPr>
            <w:tcW w:w="1128" w:type="dxa"/>
            <w:tcBorders>
              <w:top w:val="single" w:sz="4" w:space="0" w:color="auto"/>
              <w:left w:val="single" w:sz="4" w:space="0" w:color="auto"/>
              <w:bottom w:val="single" w:sz="4" w:space="0" w:color="auto"/>
              <w:right w:val="single" w:sz="4" w:space="0" w:color="auto"/>
            </w:tcBorders>
            <w:shd w:val="clear" w:color="auto" w:fill="FFFFFF"/>
          </w:tcPr>
          <w:p w14:paraId="4B558F4B" w14:textId="77777777" w:rsidR="00D3751E" w:rsidRPr="00C30D81" w:rsidRDefault="00D3751E" w:rsidP="00623631">
            <w:pPr>
              <w:rPr>
                <w:rFonts w:asciiTheme="minorHAnsi" w:hAnsiTheme="minorHAnsi" w:cstheme="minorHAnsi"/>
                <w:sz w:val="21"/>
                <w:szCs w:val="21"/>
              </w:rPr>
            </w:pPr>
          </w:p>
        </w:tc>
      </w:tr>
    </w:tbl>
    <w:p w14:paraId="0839FCD3" w14:textId="77777777" w:rsidR="00D3751E" w:rsidRPr="00C30D81" w:rsidRDefault="00D3751E" w:rsidP="00D3751E">
      <w:pPr>
        <w:tabs>
          <w:tab w:val="left" w:pos="2649"/>
        </w:tabs>
        <w:rPr>
          <w:rFonts w:asciiTheme="minorHAnsi" w:hAnsiTheme="minorHAnsi" w:cstheme="minorHAnsi"/>
        </w:rPr>
        <w:sectPr w:rsidR="00D3751E" w:rsidRPr="00C30D81" w:rsidSect="00D3751E">
          <w:headerReference w:type="default" r:id="rId8"/>
          <w:footerReference w:type="default" r:id="rId9"/>
          <w:pgSz w:w="11900" w:h="16840"/>
          <w:pgMar w:top="1134" w:right="658" w:bottom="1134" w:left="924" w:header="624" w:footer="1020" w:gutter="0"/>
          <w:cols w:space="720"/>
          <w:noEndnote/>
          <w:docGrid w:linePitch="360"/>
        </w:sectPr>
      </w:pPr>
    </w:p>
    <w:p w14:paraId="29CAA9DB" w14:textId="77777777" w:rsidR="00D3751E" w:rsidRPr="00D3751E" w:rsidRDefault="00D3751E" w:rsidP="00BE2350">
      <w:pPr>
        <w:pStyle w:val="al"/>
        <w:spacing w:line="345" w:lineRule="atLeast"/>
        <w:rPr>
          <w:rFonts w:ascii="Trebuchet MS" w:hAnsi="Trebuchet MS" w:cs="Arial"/>
          <w:sz w:val="16"/>
          <w:szCs w:val="16"/>
          <w:lang w:val="pt-PT"/>
        </w:rPr>
      </w:pPr>
    </w:p>
    <w:p w14:paraId="01B8D684" w14:textId="73B0CA2D" w:rsidR="00BE2350" w:rsidRPr="00D3751E" w:rsidRDefault="00D3751E" w:rsidP="00BE2350">
      <w:pPr>
        <w:pStyle w:val="al"/>
        <w:spacing w:line="345" w:lineRule="atLeast"/>
        <w:rPr>
          <w:rFonts w:ascii="Trebuchet MS" w:hAnsi="Trebuchet MS" w:cs="Arial"/>
          <w:sz w:val="20"/>
          <w:szCs w:val="20"/>
          <w:lang w:val="pt-PT"/>
        </w:rPr>
      </w:pPr>
      <w:r>
        <w:rPr>
          <w:rFonts w:ascii="Trebuchet MS" w:hAnsi="Trebuchet MS" w:cs="Arial"/>
          <w:sz w:val="20"/>
          <w:szCs w:val="20"/>
          <w:lang w:val="pt-PT"/>
        </w:rPr>
        <w:t>(</w:t>
      </w:r>
      <w:r w:rsidR="00BE2350" w:rsidRPr="00D3751E">
        <w:rPr>
          <w:rFonts w:ascii="Trebuchet MS" w:hAnsi="Trebuchet MS" w:cs="Arial"/>
          <w:sz w:val="20"/>
          <w:szCs w:val="20"/>
          <w:lang w:val="pt-PT"/>
        </w:rPr>
        <w:t xml:space="preserve">2) AM acordă o finanțare nerambursabilă în sumă maximă </w:t>
      </w:r>
      <w:r w:rsidRPr="00D3751E">
        <w:rPr>
          <w:rFonts w:ascii="Trebuchet MS" w:hAnsi="Trebuchet MS" w:cs="Arial"/>
          <w:sz w:val="20"/>
          <w:szCs w:val="20"/>
          <w:lang w:val="pt-PT"/>
        </w:rPr>
        <w:tab/>
        <w:t>lei (valoarea în litere), echivalentă cu ....................% din valoarea totală eligibilă aprobată</w:t>
      </w:r>
      <w:r w:rsidR="00BE2350" w:rsidRPr="00D3751E">
        <w:rPr>
          <w:rFonts w:ascii="Trebuchet MS" w:hAnsi="Trebuchet MS" w:cs="Arial"/>
          <w:sz w:val="20"/>
          <w:szCs w:val="20"/>
          <w:lang w:val="pt-PT"/>
        </w:rPr>
        <w:t xml:space="preserve">. </w:t>
      </w:r>
    </w:p>
    <w:p w14:paraId="2B0A31F0"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 În cazul în care valoarea totală a proiectului se modifică în sensul creşterii acesteia faţă de valoarea stabilită prin prezentul contract de finanţare, diferenţa astfel rezultată va fi suportată în întregime de Beneficiar. Prin excepţie, valoarea eligibilă nerambursabilă se poate majora, prin act adiţional, fără ca diferenţa astfel rezultată să fie suportată de Beneficiar, în condiţiile specificate la art. 10 alin. (8).</w:t>
      </w:r>
    </w:p>
    <w:p w14:paraId="412A8F91"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(4) Finanţarea va fi acordată, în baza cererilor de prefinanţare/rambursare/plată, elaborate şi transmise prin sistemul MySMIS2021 în conformitate cu graficul de depunere a cererilor de prefinanţare/plată/rambursare a cheltuielilor (anexa nr. 3 la prezentul contract de finanţare), încărcat şi actualizat de Beneficiar în sistemul MySMIS2021.</w:t>
      </w:r>
    </w:p>
    <w:p w14:paraId="18D2942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(5) În cazul în care valoarea totală autorizată la plată este mai mică decât valoarea eligibilă nerambursabilă (din partea fondurilor şi din bugetul naţional) din tabelul de mai sus, finanţarea nerambursabilă prevăzută la alin. (2) se reduce corespunzător, cu respectarea intensităţii intervenţiei corespunzătoare fiecărei activităţi/subactivităţi din cererea de finanţare, după caz.</w:t>
      </w:r>
    </w:p>
    <w:p w14:paraId="618B6EC4"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4. - Eligibilitatea cheltuielilor</w:t>
      </w:r>
      <w:r w:rsidRPr="00D3751E">
        <w:rPr>
          <w:rFonts w:ascii="Trebuchet MS" w:hAnsi="Trebuchet MS" w:cs="Arial"/>
          <w:sz w:val="20"/>
          <w:szCs w:val="20"/>
          <w:lang w:val="pt-PT"/>
        </w:rPr>
        <w:t xml:space="preserve"> (1) Cheltuielile angajate şi plătite pe durata de implementare a proiectului sunt eligibile dacă sunt realizate în condiţiile stabilite de prezentul contract şi cu respectarea:</w:t>
      </w:r>
    </w:p>
    <w:p w14:paraId="3D254F09"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a) legislaţiei naţionale şi europene aplicabile;</w:t>
      </w:r>
    </w:p>
    <w:p w14:paraId="5B55F372"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b) Ghidului solicitantului;</w:t>
      </w:r>
    </w:p>
    <w:p w14:paraId="0B693AD4"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 Cheltuielile aferente proiectului sunt eligibile cu condiţia ca acestea să fie cuprinse în cererea de finanţare aprobată prevăzută în anexa nr. 1 la prezentul contract şi să fie efectuate în termenii şi condiţiile prezentului contract de finanţare.</w:t>
      </w:r>
    </w:p>
    <w:p w14:paraId="5F028565"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 Aprobarea proiectului şi semnarea contractului de finanţare nu reprezintă, implicit, o confirmare a eligibilităţii cheltuielilor, aceasta urmând a fi stabilită în urma procesului de verificare a modului de utilizare a fondurilor de către Beneficiar.</w:t>
      </w:r>
    </w:p>
    <w:p w14:paraId="7EC45E3C"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(4) AM îşi rezervă dreptul de a declara, în orice moment, pe parcursul implementării contractului, ca neeligibile, cheltuielile efectuate cu nerespectarea prevederilor legale în vigoare şi/sau de a aplica corecţii financiare/reduceri procentuale ca urmare a verificării cererilor de rambursare/plată.</w:t>
      </w:r>
    </w:p>
    <w:p w14:paraId="4E602F3D"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5. - Mecanismul prefinanţării</w:t>
      </w:r>
      <w:r w:rsidRPr="00D3751E">
        <w:rPr>
          <w:rFonts w:ascii="Trebuchet MS" w:hAnsi="Trebuchet MS" w:cs="Arial"/>
          <w:sz w:val="20"/>
          <w:szCs w:val="20"/>
          <w:lang w:val="pt-PT"/>
        </w:rPr>
        <w:t xml:space="preserve"> (1) Beneficiarul are dreptul de a primi prefinanţare în condiţiile legale aplicabile, cu respectarea şi în conformitate cu prevederile prezentului contract de finanţare.</w:t>
      </w:r>
    </w:p>
    <w:p w14:paraId="5B011259"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 Prefinanţarea se justifică în termenele şi condiţiile prevăzute la art. 19 din O.U.G. nr. 133/2021 şi ale prezentului contract de finanţare.</w:t>
      </w:r>
    </w:p>
    <w:p w14:paraId="5329BC58"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 Recuperarea prefinanţării se realizează în conformitate cu prevederile art. 20 din O.U.G. nr. 133/2021 şi ale prezentului contract de finanţare.</w:t>
      </w:r>
    </w:p>
    <w:p w14:paraId="032B57E9"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6. - Rambursarea/Plata cheltuielilor</w:t>
      </w:r>
      <w:r w:rsidRPr="00D3751E">
        <w:rPr>
          <w:rFonts w:ascii="Trebuchet MS" w:hAnsi="Trebuchet MS" w:cs="Arial"/>
          <w:sz w:val="20"/>
          <w:szCs w:val="20"/>
          <w:lang w:val="pt-PT"/>
        </w:rPr>
        <w:t xml:space="preserve"> </w:t>
      </w:r>
    </w:p>
    <w:p w14:paraId="30D83440"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lastRenderedPageBreak/>
        <w:t>(1) Rambursarea sau plata se va realiza de către AM în conformitate cu prevederile legale, pe baza cererilor de rambursare/plată transmise AM de Beneficiar şi în condiţiile specificate în prezentul contract de finanţare.</w:t>
      </w:r>
    </w:p>
    <w:p w14:paraId="71595457"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 Beneficiarul răspunde de legalitatea, realitatea şi regularitatea cheltuielilor, în caz contrar fiind aplicabile prevederile O.U.G. nr. 66/2011 privind prevenirea, constatarea şi sancţionarea neregulilor apărute în obţinerea şi utilizarea fondurilor europene şi/sau a fondurilor publice naţionale aferente acestora.</w:t>
      </w:r>
    </w:p>
    <w:p w14:paraId="0B057D54"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 Autorizarea cheltuielilor/Efectuarea plăţilor se realizează de către AM, în condiţiile prevăzute în legislaţia aplicabilă şi cu respectarea Planului de monitorizare a proiectului, prevăzut în anexa nr. 2 la prezentul contract de finanţare, sub rezerva sau în limita disponibilităţilor, iar în cazul insuficienţei fondurilor, procesul de plată se va suspenda până când conturile AM vor fi alimentate cu sumele aferente fondurilor necesare. În cazul suspendării procesului de plată, Beneficiarul poate să solicite suspendarea sau prelungirea implementării proiectului, pentru aceeaşi perioadă, fără a depăşi data de 31 decembrie 2029.</w:t>
      </w:r>
    </w:p>
    <w:p w14:paraId="6CA5AC65"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7. - Drepturile şi obligaţiile Beneficiarului</w:t>
      </w:r>
      <w:r w:rsidRPr="00D3751E">
        <w:rPr>
          <w:rFonts w:ascii="Trebuchet MS" w:hAnsi="Trebuchet MS" w:cs="Arial"/>
          <w:sz w:val="20"/>
          <w:szCs w:val="20"/>
          <w:lang w:val="pt-PT"/>
        </w:rPr>
        <w:t xml:space="preserve"> </w:t>
      </w:r>
    </w:p>
    <w:p w14:paraId="2AD39754"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 Beneficiarul are responsabilitatea asigurării unui management financiar riguros şi asigurării resurselor financiare pentru cofinanţare şi cheltuieli neeligibile, precum şi pentru finanţarea cheltuielilor eligibile în concordanţă cu prevederile prezentului contract de finanţare şi ale legislaţiei europene şi naţionale aplicabile. Totodată, Beneficiarul are responsabilitatea implementării proiectului în vederea atingerii obiectivelor stabilite şi a indicatorilor asumaţi, în concordanţă cu prevederile prezentului contract de finanţare şi ale legislaţiei europene şi naţionale aplicabile.</w:t>
      </w:r>
    </w:p>
    <w:p w14:paraId="12613614"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 Beneficiarul are obligaţia de a începe executarea contractului de finanţare după semnarea acestuia şi de a realiza toate activităţile prevăzute în cererea de finanţare, fără a depăşi perioada de implementare specificată la art. 2 alin. (2) şi (3). În situaţia în care se constată că implementarea activităţilor proiectului prevăzute a fi realizate după semnare nu a început în termen de  12 luni de la data semnării contractului de finanţare, AM poate dispune rezilierea contractului de finanţare.</w:t>
      </w:r>
    </w:p>
    <w:p w14:paraId="36645876"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 Beneficiarul poate solicita în scris punctul de vedere al AM cu privire la aspectele survenite de natură să afecteze buna implementare a proiectului, urmând ca punctul de vedere al AM să fie furnizat în baza şi în vederea executării clauzelor prezentului contract de finanţare şi a legislaţiei aplicabile.</w:t>
      </w:r>
    </w:p>
    <w:p w14:paraId="42A26D60"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(4) În cazul în care face parte din categoria instituţiilor publice, indiferent de sistemul de finanţare şi de subordonare, Beneficiarul va deschide contul/conturile de proiect în sistemul Trezoreriei Statului. În cazul în care nu face parte din categoria instituţiilor publice, indiferent de sistemul de finanţare şi de subordonare, Beneficiarul poate opta pentru deschiderea contului/conturilor speciale de proiect în sistemul Trezoreriei Statului sau la instituţii de credit în conformitate cu prevederile art. 50 alin. (3) din Anexa la H.G. nr. 829/2022 pentru aprobarea Normelor metodologice de aplicare a O.U.G. nr. 133/2021 privind gestionarea financiară a fondurilor europene pentru perioada de programare 2021-2027 alocate României din Fondul european de dezvoltare regională, Fondul de coeziune, Fondul social european Plus, Fondul pentru o tranziţie justă.</w:t>
      </w:r>
    </w:p>
    <w:p w14:paraId="6C4AD2CA"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 xml:space="preserve">(5) Beneficiarul are obligaţia de a pune la dispoziţia AM sau a oricărui alt organism abilitat de lege, conform prevederilor art. 31 alin. (2) din O.U.G. nr. 133/2021, documentele şi/sau informaţiile necesare pentru </w:t>
      </w:r>
      <w:r w:rsidRPr="00D3751E">
        <w:rPr>
          <w:rFonts w:ascii="Trebuchet MS" w:hAnsi="Trebuchet MS" w:cs="Arial"/>
          <w:sz w:val="20"/>
          <w:szCs w:val="20"/>
          <w:lang w:val="pt-PT"/>
        </w:rPr>
        <w:lastRenderedPageBreak/>
        <w:t>verificarea modului de utilizare a finanţării nerambursabile, la cerere şi în termenul solicitat de AM, precum şi să asigure condiţiile pentru efectuarea verificărilor la faţa locului.</w:t>
      </w:r>
    </w:p>
    <w:p w14:paraId="0D858433"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(6) În vederea efectuării verificărilor prevăzute la alin. (5), Beneficiarul se angajează să acorde dreptul de acces la locurile şi spaţiile unde se implementează proiectul, inclusiv acces la sistemele informatice care au legătură directă cu proiectul, şi să pună la dispoziţie documentele solicitate privind gestiunea tehnică şi financiară a proiectului, pe suport hârtie sau în format electronic, în original. Documentele trebuie să fie uşor accesibile şi arhivate astfel încât să permită verificarea lor. Beneficiarul este obligat să informeze organismele şi autorităţile menţionate la alin. (5) cu privire la locul arhivării documentelor, în termen de 3 zile lucrătoare de la transmiterea solicitării de către AM/organismul abilitat şi de a asigura accesul neîngrădit al acestora la documente în locul respectiv.</w:t>
      </w:r>
    </w:p>
    <w:p w14:paraId="562D52E5"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(7) Beneficiarul se va asigura că în contractele/acordurile încheiate cu terţe părţi se prevede obligaţia acestora de a asigura disponibilitatea informaţiilor şi documentelor referitoare la proiect cu ocazia misiunilor de control desfăşurate de AM sau de alte structuri cu competenţe în controlul şi recuperarea debitelor aferente fondurilor europene şi/sau fondurilor publice naţionale aferente acestora, după caz.</w:t>
      </w:r>
    </w:p>
    <w:p w14:paraId="23D20824"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(8) Beneficiarul are obligaţia îndosarierii şi păstrării în bune condiţii a tuturor documentelor aferente proiectului în original, inclusiv copii ale documentelor partenerilor, dacă este cazul, privind activităţile şi cheltuielile eligibile în vederea asigurării unei piste de audit adecvate, în condiţiile prevăzute la art. 31 alin. (1) din O.U.G. nr. 133/2021. În situaţia arhivării electronice potrivit prevederilor Legii nr. 135/2007 privind arhivarea documentelor în formă electronică, republicată, organizarea electronică a arhivei se va realiza la nivel de proiect sau pe categorii de documente, în funcţie de specificul proiectelor, cu condiţia ca documentele arhivate să fie uşor identificabile de către părţile interesate, inclusiv pentru organizarea misiunilor de audit/verificare/control.</w:t>
      </w:r>
    </w:p>
    <w:p w14:paraId="4B8F049A"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(9) Toate documentele vor fi păstrate până la închiderea oficială a Programului sau până la expirarea perioadei pentru care trebuie asigurat caracterul durabil, respectiv a perioadei de sustenabilitate/durabilitate a proiectului, după caz, oricare intervine ultima. Termenul minim de asigurare a disponibilităţii documentelor nu poate fi mai mic de 5 ani începând cu data de 31 decembrie a anului în care a fost efectuată ultima plată de către AM către Beneficiar, iar acest termen se întrerupe fie în cazul unor proceduri judiciare, fie la cererea Comisiei Europene, în condiţiile prevăzute la art. 82 din Regulamentul (UE) nr. 2021/1.060.</w:t>
      </w:r>
    </w:p>
    <w:p w14:paraId="48B05246"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(10) Beneficiarul unei măsuri de ajutor de stat sau de minimis are obligaţia păstrării unei evidenţe a informaţiilor despre ajutoarele primite pentru o perioadă de minimum 10 ani de la data la care a fost acordată ultima alocare specifică, cu respectarea prevederilor O.U.G. nr. 77/2014 privind procedurile naţionale în domeniul ajutorului de stat, precum şi pentru modificarea şi completarea Legii concurenţei nr. 21/1996.</w:t>
      </w:r>
    </w:p>
    <w:p w14:paraId="2F512877"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 xml:space="preserve">(11) În cazul nerespectării prevederilor alin. (5) şi (8) - (10), Beneficiarul este obligat să restituie suma aferentă documentelor lipsă, rambursată/plătită de AM în cadrul proiectului, reprezentând valoarea nerambursabilă eligibilă din fonduri europene şi valoarea nerambursabilă eligibilă din bugetul naţional, iar în cazul nerespectării prevederilor alin. (6), Beneficiarul este obligat să restituie întreaga sumă rambursată/plătită de către AM </w:t>
      </w:r>
      <w:r w:rsidRPr="00D3751E">
        <w:rPr>
          <w:rFonts w:ascii="Trebuchet MS" w:hAnsi="Trebuchet MS" w:cs="Arial"/>
          <w:sz w:val="20"/>
          <w:szCs w:val="20"/>
          <w:lang w:val="pt-PT"/>
        </w:rPr>
        <w:lastRenderedPageBreak/>
        <w:t>aferentă proiectului, inclusiv dobânzile/penalizările aferente, în acord cu prevederile art. 31 alin. (3) şi (4) din O.U.G. nr. 133/2021.</w:t>
      </w:r>
    </w:p>
    <w:p w14:paraId="578A1952"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(12) Beneficiarul este obligat să încarce în MySMIS2021 toate documentele aferente implementării proiectului semnate electronic cu semnătură electronică extinsă, bazată pe un certificat calificat valabil, nesuspendat sau nerevocat, conform legislaţiei în vigoare.</w:t>
      </w:r>
    </w:p>
    <w:p w14:paraId="67FA528D"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(13) Beneficiarul este obligat să prevadă/includă în bugetul propriu sumele necesare finanţării proiectului, inclusiv asigurarea cofinanţării şi a finanţării cheltuielilor neeligibile ce îi revin conform prevederilor art. 3 şi în vederea efectuării plăţilor în legătură cu implementarea proiectului, cu respectarea prevederilor legislaţiei europene şi naţionale aplicabile şi ale prezentului contract de finanţare.</w:t>
      </w:r>
    </w:p>
    <w:p w14:paraId="093DDD6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(14) Beneficiarul trebuie să ţină o evidenţă contabilă analitică a proiectului, utilizând conturi analitice distincte pentru reflectarea tuturor operaţiunilor referitoare la implementarea proiectului, în conformitate cu dispoziţiile legale aplicabile.</w:t>
      </w:r>
    </w:p>
    <w:p w14:paraId="2563FE75"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(15) În situaţia în care implementarea proiectului presupune achiziţionarea de produse, servicii ori lucrări, Beneficiarul are obligaţia de a respecta prevederile legislaţiei europene şi naţionale în vigoare în domeniul achiziţiilor publice/achiziţiilor sectoriale/achiziţiilor în domeniile apărării şi securităţii sau dispoziţiile legale privind achiziţiile efectuate de beneficiarii privaţi, după caz.</w:t>
      </w:r>
    </w:p>
    <w:p w14:paraId="082584E8"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(16) Beneficiarul are obligaţia întocmirii şi transmiterii cererilor de rambursare şi, după caz, a cererilor de plată şi a cererilor de prefinanţare şi de a pune la dispoziţia AM documentele justificative ce însoţesc cererea de rambursare/plată/prefinanţare, spre a fi verificate de către AM în vederea efectuării rambursării/plăţii.</w:t>
      </w:r>
    </w:p>
    <w:p w14:paraId="226866D0"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(17) Beneficiarul are obligaţia respectării termenelor de transmitere a cererilor de rambursare şi, după caz, a cererilor de plată şi a cererilor de prefinanţare, în condiţiile prezentului contract de finanţare şi ale legislaţiei aplicabile.</w:t>
      </w:r>
    </w:p>
    <w:p w14:paraId="1A3D0BB0"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(18) Beneficiarul are obligaţia şi responsabilitatea întocmirii şi transmiterii rapoartelor de progres şi a documentelor justificative care le însoţesc, în termenul prevăzut la art. 13 alin. (4).</w:t>
      </w:r>
    </w:p>
    <w:p w14:paraId="32F61569"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(19) Beneficiarul are obligaţia de a încărca în sistemul MySMIS2021 dosarul aferent achiziţiilor realizate, în format electronic, în termen de 10 zile lucrătoare de la data încheierii contractului de achiziţie/actelor adiţionale la contractele de achiziţie, în vederea realizării de către AM a verificării procedurii de achiziţie/îndeplinirii condiţiilor de modificare a contractelor de achiziţie.</w:t>
      </w:r>
    </w:p>
    <w:p w14:paraId="25A03902"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(20) Beneficiarul are obligaţia să asigure resursele necesare desfăşurării activităţilor proiectului, conform cererii de finanţare, în termenele stabilite prin prezentul contract de finanţare.</w:t>
      </w:r>
    </w:p>
    <w:p w14:paraId="0EB7CFB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(21) Beneficiarul este obligat să realizeze măsurile minime de informare şi publicitate prevăzute la art. 50 din Regulamentul (UE) nr. 2021/1.060 şi în Ghidul solicitantului, detaliate în Condiţiile specifice, după caz, precum şi să asigure respectarea prevederilor Ghidului de identitate vizuală 2021-2027 elaborat de Ministerul Investiţiilor şi Proiectelor Europene, sub sancţiunea aplicării de către AM a măsurilor prevăzute la art. 50 alin. (3) din Regulamentul (UE) nr. 2021/1.060.</w:t>
      </w:r>
    </w:p>
    <w:p w14:paraId="3CA8EFC8"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lastRenderedPageBreak/>
        <w:t>(22) Beneficiarul are obligaţia de a restitui AM orice sumă ce constituie plată nedatorată/sume necuvenite plătite eronat de către AM în cadrul prezentului contract de finanţare, în termen de 5 zile lucrătoare de la data primirii notificării. Nerespectarea termenului menţionat anterior dă dreptul AM de a solicita Beneficiarului dobânda legală datorată, stabilită conform legislaţiei în vigoare.</w:t>
      </w:r>
    </w:p>
    <w:p w14:paraId="3803A3FF"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(23) Beneficiarul este obligat să informeze AM despre orice situaţie care poate determina încetarea sau întârzierea executării contractului de finanţare, în termen de maximum 5 zile lucrătoare de la data luării la cunoştinţă despre o astfel de situaţie, urmând ca AM să decidă cu privire la măsurile corespunzătoare.</w:t>
      </w:r>
    </w:p>
    <w:p w14:paraId="7EB74D64"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(24) Beneficiarul îşi asumă integral răspunderea pentru prejudiciile cauzate terţilor din culpa sa, pe durata contractului. AM va fi degrevata de orice responsabilitate pentru prejudiciile cauzate terţilor de către Beneficiar, ca urmare a executării prezentului contract de finanţare, cu excepţia celor care pot fi direct imputabile acestora.</w:t>
      </w:r>
    </w:p>
    <w:p w14:paraId="5920FAC6"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(25) În cazul în care se realizează verificări la faţa locului, Beneficiarul este obligat să participe şi să invite persoanele care sunt implicate în implementarea proiectului şi care pot furniza informaţiile şi documentele necesare verificărilor, conform solicitărilor AM.</w:t>
      </w:r>
    </w:p>
    <w:p w14:paraId="61416B19"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(26) Beneficiarul are obligaţia de a comunica cu AM în legătură cu prezentul contract de finanţare prin intermediul sistemului MySMIS2021. În cazul unei defecţiuni a sistemului MySMIS2021 sau al forţei majore, Beneficiarul poate prezenta informaţiile solicitate prin poştă şi/sau electronic, prin e-mail, în condiţiile prevăzute la art. 21. Beneficiarul va încărca documentele respective în MySMIS2021 în termen de 15 zile calendaristice de la restabilirea funcţionalităţii sistemului MySMIS2021 sau de la încetarea forţei majore.</w:t>
      </w:r>
    </w:p>
    <w:p w14:paraId="25B690E0"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(27) Beneficiarul are obligaţia de a asigura funcţionarea tuturor bunurilor, echipamentelor achiziţionate prin proiect, la locul de desfăşurare/locaţiile de implementare a proiectului şi exclusiv în scopul pentru care au fost achiziţionate, atât în perioada de implementare, cât şi în perioada în care are obligaţia să asigure sustenabilitatea proiectului/caracterul durabil al proiectului, aşa cum este acesta reglementat la art. 2 alin. (5) şi (6).</w:t>
      </w:r>
    </w:p>
    <w:p w14:paraId="67E09F57"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(28) Beneficiarul are obligaţia de a nu modifica locaţia bunurilor şi echipamentelor achiziţionate în cadrul proiectului fără acordul prealabil al AM cu privire la acest fapt, solicitat cu cel puţin 10 zile lucrătoare înainte, fără ca această modificare să facă parte dintr-un proces de relocare.</w:t>
      </w:r>
    </w:p>
    <w:p w14:paraId="2F4DAEC3"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(29) Beneficiarul are obligaţia să nu întreprindă acţiuni de relocare, precum şi să nu înstrăineze şi să nu închirieze bunurile achiziţionate ca urmare a obţinerii finanţării prin Program, atât în perioada de implementare a proiectului, cât şi în perioada în care are obligaţia să asigure caracterul durabil al proiectului, respectiv perioada de sustenabilitate/durabilitate, aşa cum este aceasta reglementată la art. 2 alin. (5) şi (6).</w:t>
      </w:r>
    </w:p>
    <w:p w14:paraId="523646B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 xml:space="preserve">(30) Beneficiarul, pentru asigurarea finanţării cheltuielilor necesare implementării proiectului, precum şi pentru asigurarea cofinanţării, inclusiv în perioada pentru care trebuie asigurat caracterul durabil, respectiv perioada de sustenabilitate/durabilitate, după caz, în condiţii obiective şi justificate, poate constitui garanţii în favoarea unei instituţii de credit, sub forma instituirii unei ipoteci asupra activelor fixe care fac obiectul contractului de finanţare, în condiţiile legii. Beneficiarul este obligat să transmită AM o copie a contractului de credit şi a celui </w:t>
      </w:r>
      <w:r w:rsidRPr="00D3751E">
        <w:rPr>
          <w:rFonts w:ascii="Trebuchet MS" w:hAnsi="Trebuchet MS" w:cs="Arial"/>
          <w:sz w:val="20"/>
          <w:szCs w:val="20"/>
          <w:lang w:val="pt-PT"/>
        </w:rPr>
        <w:lastRenderedPageBreak/>
        <w:t>de ipotecă în termen de maximum 10 zile lucrătoare de la semnarea acestuia; în cazul imobilelor, aceasta va fi însoţită de raportul de evaluare a imobilului finanţat în cadrul prezentului contract de finanţare, realizat de către un evaluator independent autorizat de Asociaţia Naţională a Evaluatorilor Autorizaţi din România.</w:t>
      </w:r>
    </w:p>
    <w:p w14:paraId="07445040"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(31) Beneficiarul are obligaţia de a nu schimba activitatea desfăşurată prin utilizarea activelor corporale/necorporale realizate/achiziţionate din finanţarea nerambursabilă în perioada în care are obligaţia să asigure caracterul durabil al proiectului, respectiv perioada de sustenabilitate/durabilitate, aşa cum este aceasta reglementată la art. 2 alin. (5) şi (6).</w:t>
      </w:r>
    </w:p>
    <w:p w14:paraId="62C75255"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(32) În cazul nerespectării prevederilor alin. (27), (29) şi (31), Beneficiarul este obligat să restituie finanţarea nerambursabilă plătită pentru activele respective, inclusiv dobânzile/ penalizările aferente.</w:t>
      </w:r>
    </w:p>
    <w:p w14:paraId="13AE71B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(33) Beneficiarul are obligaţia de a pune în aplicare toate instrucţiunile emise de AM în legătură cu obiectul contractului de finanţare la termenele şi în condiţiile stabilite prin acestea.</w:t>
      </w:r>
    </w:p>
    <w:p w14:paraId="264DC729"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(34) Beneficiarul are obligaţia de a asigura corespondenţa, precum şi prezentarea documentelor în legătură cu implementarea/monitorizarea/cererile de prefinanţare/cererile de plată/cererile de rambursare, precum şi orice alte categorii de documente prin sistemul informatic MySMIS2021.</w:t>
      </w:r>
    </w:p>
    <w:p w14:paraId="10DE3A87"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(35) Beneficiarul îşi exprimă acordul cu privire la prelucrarea, stocarea şi arhivarea datelor obţinute pe parcursul desfăşurării contractului de finanţare, în vederea utilizării de către AM, precum şi de către organismele naţionale şi europene abilitate conform legii, pe toată durata, precum şi după încetarea acestuia, în scopul verificării modului de implementare şi/sau a respectării clauzelor contractuale şi a legislaţiei naţionale şi europene.</w:t>
      </w:r>
    </w:p>
    <w:p w14:paraId="3877FD39"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(36) Beneficiarul are obligaţia de a asigura furnizarea către AM a următoarelor categorii de date</w:t>
      </w:r>
      <w:r w:rsidRPr="00D3751E">
        <w:rPr>
          <w:rFonts w:ascii="Trebuchet MS" w:hAnsi="Trebuchet MS" w:cs="Arial"/>
          <w:sz w:val="20"/>
          <w:szCs w:val="20"/>
          <w:vertAlign w:val="superscript"/>
          <w:lang w:val="pt-PT"/>
        </w:rPr>
        <w:t>2</w:t>
      </w:r>
      <w:r w:rsidRPr="00D3751E">
        <w:rPr>
          <w:rFonts w:ascii="Trebuchet MS" w:hAnsi="Trebuchet MS" w:cs="Arial"/>
          <w:sz w:val="20"/>
          <w:szCs w:val="20"/>
          <w:lang w:val="pt-PT"/>
        </w:rPr>
        <w:t xml:space="preserve"> privind utilizarea fondurilor: prenumele, numele şi data naşterii beneficiarului real/beneficiarilor reali al/ai destinatarului fondurilor sau al contractantului, astfel cum este definit la art. 3 alin. (6) din Directiva (UE) nr. 2015/849 a Parlamentului European şi a Consiliului din 20 mai 2015 privind prevenirea utilizării sistemului financiar în scopul spălării banilor sau finanţării terorismului, de modificare a Regulamentului (UE) nr. 648/2012 al Parlamentului European şi al Consiliului şi de abrogare a Directivei nr. 2005/60/CE a Parlamentului European şi a Consiliului şi a Directivei nr. 2006/70/CE a Comisiei.</w:t>
      </w:r>
    </w:p>
    <w:p w14:paraId="6E3A45AD"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vertAlign w:val="superscript"/>
          <w:lang w:val="pt-PT"/>
        </w:rPr>
        <w:t>2</w:t>
      </w:r>
      <w:r w:rsidRPr="00D3751E">
        <w:rPr>
          <w:rFonts w:ascii="Trebuchet MS" w:hAnsi="Trebuchet MS" w:cs="Arial"/>
          <w:sz w:val="20"/>
          <w:szCs w:val="20"/>
          <w:lang w:val="pt-PT"/>
        </w:rPr>
        <w:t xml:space="preserve"> Informaţiile transmise de beneficiarii reali sunt necesare numai în cazul procedurilor de achiziţii publice care depăşesc pragurile de la nivelul Uniunii, conform Anexei XVII din Regulamentul (UE) nr. 2021/1.060</w:t>
      </w:r>
    </w:p>
    <w:p w14:paraId="4C8FF31C"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(37) Beneficiarul/Liderul de parteneriat/partenerii au obligația de a notifica AM cu privire la starea de insolvență/faliment/încadrarea întreprinderii ca ”întreprindere în dificultate” și altele asemenea, în termen de 15 zile de la data constatării uneia dintre aceste situații de către autoritățile competente conform legii.</w:t>
      </w:r>
    </w:p>
    <w:p w14:paraId="496E5D5A"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(38) Beneficiarul are obligaţia să se asigure că este respectat principiul "de a nu prejudicia în mod semnificativ" ("do not significantly harm") pe tot parcursul implementării proiectului, inclusiv prin includerea de cerinţe specifice în documentaţiile şi contractele de achiziţii, acolo unde este cazul.</w:t>
      </w:r>
    </w:p>
    <w:p w14:paraId="2A0019E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(39) Beneficiarul are responsabilitatea de a se asigura că nu solicită la decontare aceleaşi costuri incluse în cadrul proiectului din mai multe surse de finanţare publice naţionale sau europene.</w:t>
      </w:r>
    </w:p>
    <w:p w14:paraId="60EF0624" w14:textId="77777777" w:rsidR="00BE2350" w:rsidRPr="00D3751E" w:rsidRDefault="00BE2350" w:rsidP="00BE2350">
      <w:pPr>
        <w:pStyle w:val="al"/>
        <w:spacing w:line="345" w:lineRule="atLeast"/>
        <w:rPr>
          <w:rFonts w:ascii="Trebuchet MS" w:hAnsi="Trebuchet MS" w:cs="Arial"/>
          <w:sz w:val="20"/>
          <w:szCs w:val="20"/>
          <w:lang w:val="pt-PT"/>
        </w:rPr>
      </w:pPr>
      <w:r w:rsidRPr="00D3751E">
        <w:rPr>
          <w:rStyle w:val="Emphasis"/>
          <w:rFonts w:ascii="Trebuchet MS" w:hAnsi="Trebuchet MS"/>
          <w:sz w:val="20"/>
          <w:szCs w:val="20"/>
          <w:lang w:val="pt-PT"/>
        </w:rPr>
        <w:lastRenderedPageBreak/>
        <w:t>Pentru proiectele de infrastructură/obiective de investiţii şi/sau care presupun execuţia de lucrări</w:t>
      </w:r>
    </w:p>
    <w:p w14:paraId="4CCB6EA4"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(40) Beneficiarul are obligaţia de a se asigura că la emiterea ordinului de începere a execuţiei lucrărilor sunt îndeplinite toate condiţiile legale pentru executarea acestora.</w:t>
      </w:r>
    </w:p>
    <w:p w14:paraId="33606212"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(41) Beneficiarul are obligaţia să prevadă în documentaţiile de achiziţii care vizează infrastructuri cu o durată de viaţă mai mare de 5 ani prevederi referitoare la "imunizarea climatică", aşa cum este definită la art. 2 pct. 42 din Regulamentul (UE) nr. 2021/1.060.</w:t>
      </w:r>
    </w:p>
    <w:p w14:paraId="139F13E0"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(42) Beneficiarul are obligaţia să prevadă clauze în contractele de achiziţie aferente activităţii de bază, conform cărora contractorii şi subcontractorii organizează şi actualizează documentaţia privind execuţia lucrărilor, aferentă cărţii tehnice a construcţiei, prevăzută la art. 17 din Legea nr. 10/1995 privind calitatea în construcţii, republicată, şi au obligaţia să pună la dispoziţia Beneficiarului orice documente şi/sau informaţii necesare pentru verificarea modului de implementare a contractului de achiziţie.</w:t>
      </w:r>
    </w:p>
    <w:p w14:paraId="58CA28DA"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(43) În situaţia în care au fost încheiate contracte de achiziţie, la data semnării contractului de finanţare, Beneficiarul încheie acte adiţionale la contractele de achiziţie pentru a asigura aplicarea prevederii alin. (42).</w:t>
      </w:r>
    </w:p>
    <w:p w14:paraId="5E8E210A" w14:textId="77777777" w:rsidR="00BE2350" w:rsidRPr="00D3751E" w:rsidRDefault="00BE2350" w:rsidP="00BE2350">
      <w:pPr>
        <w:pStyle w:val="al"/>
        <w:spacing w:line="345" w:lineRule="atLeast"/>
        <w:rPr>
          <w:rFonts w:ascii="Trebuchet MS" w:hAnsi="Trebuchet MS" w:cs="Arial"/>
          <w:sz w:val="20"/>
          <w:szCs w:val="20"/>
          <w:lang w:val="pt-PT"/>
        </w:rPr>
      </w:pPr>
      <w:r w:rsidRPr="00D3751E">
        <w:rPr>
          <w:rStyle w:val="Emphasis"/>
          <w:rFonts w:ascii="Trebuchet MS" w:hAnsi="Trebuchet MS"/>
          <w:sz w:val="20"/>
          <w:szCs w:val="20"/>
          <w:lang w:val="pt-PT"/>
        </w:rPr>
        <w:t>Pentru proiectele implementate în cadrul ITI</w:t>
      </w:r>
    </w:p>
    <w:p w14:paraId="0D96616A" w14:textId="77777777" w:rsidR="00BE2350"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(44) În cazul proiectelor implementate în zona investiţiei teritoriale integrate (ITI), Beneficiarul are obligaţia de a transmite către Asociaţia pentru Dezvoltare Intercomunitară ITI informaţiile necesare privind evoluţia proiectului care contribuie la Strategia de dezvoltare a ITI.</w:t>
      </w:r>
    </w:p>
    <w:p w14:paraId="3A3FB990" w14:textId="77777777" w:rsidR="00E81AB4" w:rsidRPr="00D3751E" w:rsidRDefault="00E81AB4" w:rsidP="00BE2350">
      <w:pPr>
        <w:pStyle w:val="al"/>
        <w:spacing w:line="345" w:lineRule="atLeast"/>
        <w:rPr>
          <w:rFonts w:ascii="Trebuchet MS" w:hAnsi="Trebuchet MS" w:cs="Arial"/>
          <w:sz w:val="20"/>
          <w:szCs w:val="20"/>
          <w:lang w:val="pt-PT"/>
        </w:rPr>
      </w:pPr>
    </w:p>
    <w:p w14:paraId="5D23DEBF"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8. - Drepturile şi obligaţiile AM</w:t>
      </w:r>
      <w:r w:rsidRPr="00D3751E">
        <w:rPr>
          <w:rFonts w:ascii="Trebuchet MS" w:hAnsi="Trebuchet MS" w:cs="Arial"/>
          <w:sz w:val="20"/>
          <w:szCs w:val="20"/>
          <w:lang w:val="pt-PT"/>
        </w:rPr>
        <w:t xml:space="preserve"> </w:t>
      </w:r>
    </w:p>
    <w:p w14:paraId="44252AEA"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 AM are obligaţia de a informa Beneficiarul, în timp util, cu privire la orice decizie luată care poate afecta implementarea proiectului, dar nu mai târziu de 5 zile lucrătoare de la data adoptării respectivei decizii, aceasta producând efecte între părţi de la data la care a fost comunicată Beneficiarului prin intermediul sistemului MySMIS2021 şi/sau prin publicare pe pagina web a AM.</w:t>
      </w:r>
    </w:p>
    <w:p w14:paraId="60EC3191"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 AM are obligaţia de a informa Beneficiarul cu privire la rapoartele, concluziile şi recomandările care au impact asupra proiectului acestuia, formulate de către Comisia Europeană şi/sau orice altă autoritate competentă, în termen de 5 zile lucrătoare de la data aprobării/notificării/comunicării oficiale a respectivelor rapoarte/concluzii/recomandări, prin intermediul sistemului MySMIS2021.</w:t>
      </w:r>
    </w:p>
    <w:p w14:paraId="60366A5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 AM are obligaţia de a răspunde în scris, conform competenţelor stabilite, în termen de 10 zile lucrătoare, oricărei solicitări a Beneficiarului privind informaţiile sau clarificările pe care acesta le consideră necesare pentru implementarea proiectului, cu excepţia situaţiilor pentru care legislaţia în vigoare sau prezentul contract de finanţare prevede alte termene.</w:t>
      </w:r>
    </w:p>
    <w:p w14:paraId="229B075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(4) AM are obligaţia de a procesa cererile de prefinanţare, cererile de rambursare şi cererile de plată în conformitate cu legislaţia naţională aplicabilă şi cu prevederile prezentului contract de finanţare.</w:t>
      </w:r>
    </w:p>
    <w:p w14:paraId="3076609D"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(5) AM are obligaţia de a efectua transferul prefinanţării, în condiţiile prevăzute de legislaţia aplicabilă şi cu respectarea prevederilor prezentului contract de finanţare.</w:t>
      </w:r>
    </w:p>
    <w:p w14:paraId="48653B1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lastRenderedPageBreak/>
        <w:t>(6) AM are obligaţia de a efectua rambursarea sau plata cheltuielilor în condiţiile prevăzute de legislaţia aplicabilă şi cu respectarea prevederilor prezentului contract de finanţare.</w:t>
      </w:r>
    </w:p>
    <w:p w14:paraId="6E994D01"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(7) AM are dreptul de a monitoriza şi verifica din punct de vedere tehnic şi financiar implementarea proiectului, pe baza contractului de finanţare, a cererii de finanţare aprobate şi a Planului de monitorizare, în vederea asigurării îndeplinirii obiectivelor proiectului şi prevenirii neregulilor. În acest sens, AM va realiza vizite de monitorizare, inclusiv vizite de monitorizare a activităţilor aflate în derulare.</w:t>
      </w:r>
    </w:p>
    <w:p w14:paraId="0A2C032C"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(8) AM are dreptul de a verifica legalitatea şi realitatea tuturor activităţilor şi cheltuielilor aferente implementării proiectului care fac obiectul prezentului contract de finanţare.</w:t>
      </w:r>
    </w:p>
    <w:p w14:paraId="5582605C"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(9) AM are obligaţia de a efectua verificarea la faţa locului a activităţilor şi cheltuielilor aferente implementării proiectului, în conformitate cu prevederile contractului de finanţare, asigurând cel puţin o vizită la faţa locului pe durata de implementare a proiectului.</w:t>
      </w:r>
    </w:p>
    <w:p w14:paraId="05B79E2A"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(10) AM are obligaţia de a informa Beneficiarul, prin MySMIS2021, asupra acţiunilor de verificare la faţa locului a implementării proiectului/acţiunilor de monitorizare/acţiunilor de control din partea autorităţilor care desfăşoară activităţi de audit şi control, cu excepţia vizitelor de monitorizare ad-hoc şi a cazurilor în care informarea prealabilă ar putea prejudicia obiectul verificărilor.</w:t>
      </w:r>
    </w:p>
    <w:p w14:paraId="703B6495"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(11) AM are obligaţia de a asigura comunicarea cu Beneficiarul prin sistemul informatic MySMIS2021, în ceea ce priveşte solicitarea şi/sau primirea documentelor/ informaţiilor în legătură cu proiectul în tot ceea ce priveşte aspectele referitoare la implementare/monitorizare/cereri de prefinanţare/cereri de plată/cereri de rambursare/ verificare achiziţii/control.</w:t>
      </w:r>
    </w:p>
    <w:p w14:paraId="318E923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(12) AM are obligaţia de a informa Beneficiarul asupra rezultatelor aferente fiecărei etape a procesului de verificare şi autorizare a cererilor de prefinanţare/cererilor de rambursare/ cererilor de plată, precum şi rapoartelor de progres/rapoartelor de vizită la faţa locului.</w:t>
      </w:r>
    </w:p>
    <w:p w14:paraId="458C9CB4"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(13) AM are obligaţia de a informa Beneficiarul asupra rezultatelor verificării procedurilor de achiziţie care implică o reducere procentuală/corecţie financiară, respectiv asupra emiterii actelor de constatare a neregulilor, dar şi cu privire la sesizările formulate în legătură cu existenţa unor indicii de fraudă, cu excepţia cazurilor în care informarea prealabilă ar putea prejudicia obiectul verificărilor.</w:t>
      </w:r>
    </w:p>
    <w:p w14:paraId="3E6472D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(14) În situaţia în care, în urma verificărilor pe care le realizează, AM constată existenţa unor indicii de fraudă sau tentativă de fraudă, are obligaţia să sesizeze Parchetul European/DLAF/organul de urmărire penală, devenind incidente prevederile art. 8 din O.U.G. nr. 66/2011.</w:t>
      </w:r>
    </w:p>
    <w:p w14:paraId="2E978172"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(15) AM are obligaţia de a monitoriza îndeplinirea indicatorilor de etapă şi sprijină Beneficiarul pentru a identifica soluţii adecvate pentru îndeplinirea indicatorilor de etapă şi pentru buna implementare a proiectelor care fac obiectul contractului de finanţare.</w:t>
      </w:r>
    </w:p>
    <w:p w14:paraId="054DC13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(16) AM are dreptul să aplice, în situaţia neîndeplinirii de către Beneficiar a indicatorilor de etapă la termenele prevăzute în Planul de monitorizare a proiectului, în funcţie de analiza obiectivă şi riscurile identificate, măsurile corective prevăzute la art. 13.</w:t>
      </w:r>
    </w:p>
    <w:p w14:paraId="12FB1E4D" w14:textId="77777777" w:rsidR="00BE2350"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lastRenderedPageBreak/>
        <w:t>(17) AM va informa despre data închiderii oficiale/parţiale a Programului prin intermediul mijloacelor publice de informare.</w:t>
      </w:r>
    </w:p>
    <w:p w14:paraId="0E57FABE" w14:textId="4CDE792D" w:rsidR="006F1859" w:rsidRPr="00D3751E" w:rsidRDefault="006F1859" w:rsidP="00BE2350">
      <w:pPr>
        <w:pStyle w:val="al"/>
        <w:spacing w:line="345" w:lineRule="atLeast"/>
        <w:rPr>
          <w:rFonts w:ascii="Trebuchet MS" w:hAnsi="Trebuchet MS" w:cs="Arial"/>
          <w:sz w:val="20"/>
          <w:szCs w:val="20"/>
          <w:lang w:val="pt-PT"/>
        </w:rPr>
      </w:pPr>
      <w:r w:rsidRPr="003E17EB">
        <w:rPr>
          <w:rFonts w:ascii="Trebuchet MS" w:hAnsi="Trebuchet MS" w:cs="Arial"/>
          <w:sz w:val="20"/>
          <w:szCs w:val="20"/>
          <w:lang w:val="pt-PT"/>
        </w:rPr>
        <w:t>(18) AM se asigură că materialele de comunicare şi vizibilitate, inclusiv cele de la nivelul beneficiarilor, sunt puse la dispoziţia instituţiilor, organelor, oficiilor sau agenţiilor Uniunii, la cererea acestora, şi că se acordă Uniunii o licenţă fără redevenţe, neexclusivă şi irevocabilă pentru utilizarea acestor materiale şi a oricăror drepturi preexistente aferente acestora, în conformitate cu anexa IX din Regulamentul (UE) 2021/1.060.</w:t>
      </w:r>
    </w:p>
    <w:p w14:paraId="46C61AF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9. - Contractarea şi cesiunea</w:t>
      </w:r>
      <w:r w:rsidRPr="00D3751E">
        <w:rPr>
          <w:rFonts w:ascii="Trebuchet MS" w:hAnsi="Trebuchet MS" w:cs="Arial"/>
          <w:sz w:val="20"/>
          <w:szCs w:val="20"/>
          <w:lang w:val="pt-PT"/>
        </w:rPr>
        <w:t xml:space="preserve"> </w:t>
      </w:r>
    </w:p>
    <w:p w14:paraId="3905F310"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 În cazul externalizării unor activităţi din cadrul proiectului, responsabilitatea pentru implementarea acelor activităţi revine Beneficiarului/partenerului în cauză, în conformitate cu dispoziţiile legale.</w:t>
      </w:r>
    </w:p>
    <w:p w14:paraId="344A8B86"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 Prezentul contract de finanţare, precum şi toate drepturile şi obligaţiile decurgând din implementarea acestuia nu pot face obiectul cesiunii totale sau parţiale, novaţiei, subrogaţiei sau al oricărui alt mecanism de transmisiune şi/sau transformare a obligaţiilor şi drepturilor.</w:t>
      </w:r>
    </w:p>
    <w:p w14:paraId="2AD75DEF" w14:textId="77777777" w:rsidR="00BE2350" w:rsidRPr="00D3751E" w:rsidRDefault="00BE2350" w:rsidP="00BE2350">
      <w:pPr>
        <w:pStyle w:val="al"/>
        <w:spacing w:line="345" w:lineRule="atLeast"/>
        <w:rPr>
          <w:rFonts w:ascii="Trebuchet MS" w:hAnsi="Trebuchet MS" w:cs="Arial"/>
          <w:b/>
          <w:bCs/>
          <w:sz w:val="20"/>
          <w:szCs w:val="20"/>
          <w:lang w:val="pt-PT"/>
        </w:rPr>
      </w:pPr>
      <w:r w:rsidRPr="00D3751E">
        <w:rPr>
          <w:rFonts w:ascii="Trebuchet MS" w:hAnsi="Trebuchet MS" w:cs="Arial"/>
          <w:b/>
          <w:bCs/>
          <w:sz w:val="20"/>
          <w:szCs w:val="20"/>
          <w:lang w:val="pt-PT"/>
        </w:rPr>
        <w:t>Art. 10. - Modificări şi completări</w:t>
      </w:r>
    </w:p>
    <w:p w14:paraId="233B73E4"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 Părţile au dreptul, pe durata îndeplinirii prezentului contract de finanţare, de a conveni modificări, prin act adiţional.</w:t>
      </w:r>
    </w:p>
    <w:p w14:paraId="3AD9B20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 În cazul în care propunerea de modificare a contractului de finanţare este iniţiată de către Beneficiar, acesta are obligaţia de a o transmite AM cu cel puţin 30 de zile înainte de termenul la care este intenţionată a intra în vigoare. Beneficiarul va transmite, de asemenea, odată cu solicitarea de modificare, toate documentele justificative necesare.</w:t>
      </w:r>
    </w:p>
    <w:p w14:paraId="4C901D06"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 AM răspunde solicitării de modificare a contractului de finanţare prin act adiţional, în termen de maximum 30 de zile de la data primirii solicitării de modificare a contractului de finanţare. În interiorul acestui termen pot fi solicitate clarificări de către AM, care suspendă termenul de aprobare sau de respingere a actului adiţional, fără ca această perioadă de suspendare să depăşească 5 zile lucrătoare.</w:t>
      </w:r>
    </w:p>
    <w:p w14:paraId="4FB63E87"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(4) În cazul propunerilor de acte adiţionale care au ca obiect reducerea valorii indicatorilor ce urmează a fi atinsă prin proiect, valoarea totală eligibilă a proiectului va fi redusă proporţional, cu excepţia cazurilor justificate fundamentat.</w:t>
      </w:r>
    </w:p>
    <w:p w14:paraId="1D89A899"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(5) Modificarea Planului de monitorizare a proiectului, justificat fundamentat, se realizează prin act adiţional.</w:t>
      </w:r>
    </w:p>
    <w:p w14:paraId="4515AA1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(6) Modificarea duratei de implementare, justificată fundamentat, se realizează prin act adiţional, cu respectarea Ghidului solicitantului specific, fără ca perioada de implementare să depăşească 31 decembrie 2029.</w:t>
      </w:r>
    </w:p>
    <w:p w14:paraId="6B2BB44F"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 xml:space="preserve">(7) Suspendarea implementării proiectului, pentru motive întemeiate, se realizează prin act adiţional. Pe perioada suspendării, Beneficiarul poate depune la AM solicitări de modificări contractuale şi cereri de prefinanţare/plată/rambursare, precum şi cereri de rambursare aferente cererilor de prefinanţare/plată care cuprind cheltuieli angajate şi plătite de Beneficiar anterior începerii perioadei de suspendare, precum şi cheltuieli angajate anterior începerii perioadei de suspendare şi care sunt plătite în perioada de suspendare. </w:t>
      </w:r>
      <w:r w:rsidRPr="00D3751E">
        <w:rPr>
          <w:rFonts w:ascii="Trebuchet MS" w:hAnsi="Trebuchet MS" w:cs="Arial"/>
          <w:sz w:val="20"/>
          <w:szCs w:val="20"/>
          <w:lang w:val="pt-PT"/>
        </w:rPr>
        <w:lastRenderedPageBreak/>
        <w:t>Cheltuielile efectuate de Beneficiar pe parcursul perioadei de suspendare a proiectului, aferente perioadei de suspendare, nu vor fi acoperite din finanţarea acordată proiectului.</w:t>
      </w:r>
    </w:p>
    <w:p w14:paraId="06B12720" w14:textId="77777777" w:rsidR="00BE2350" w:rsidRPr="00D3751E" w:rsidRDefault="00BE2350" w:rsidP="00BE2350">
      <w:pPr>
        <w:pStyle w:val="al"/>
        <w:spacing w:line="345" w:lineRule="atLeast"/>
        <w:rPr>
          <w:rStyle w:val="Emphasis"/>
          <w:rFonts w:ascii="Trebuchet MS" w:hAnsi="Trebuchet MS"/>
          <w:i/>
          <w:iCs/>
          <w:sz w:val="20"/>
          <w:szCs w:val="20"/>
          <w:lang w:val="pt-PT"/>
        </w:rPr>
      </w:pPr>
      <w:r w:rsidRPr="00D3751E">
        <w:rPr>
          <w:rStyle w:val="Emphasis"/>
          <w:rFonts w:ascii="Trebuchet MS" w:hAnsi="Trebuchet MS"/>
          <w:sz w:val="20"/>
          <w:szCs w:val="20"/>
          <w:lang w:val="pt-PT"/>
        </w:rPr>
        <w:t xml:space="preserve">Perioadele cumulate de suspendare nu pot depăși 6 luni, cu asigurarea condițiilor necesare ca finalizarea implementării proiectului să nu depășească data de 31 decembrie 2029. </w:t>
      </w:r>
    </w:p>
    <w:p w14:paraId="5536A3C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(8) Valoarea eligibilă nerambursabilă a contractului, după caz, se poate majora prin acte adiţionale doar în situaţia unor circumstanţe de natură obiectivă, bine justificate, care nu au depins de acţiunea/inacţiunea părţilor contractului de finanţare şi care sunt reglementate prin acte normative. Beneficiarul poate efectua cheltuieli în condiţiile modificate prin act adiţional, dar le poate solicita la rambursare numai după intrarea în vigoare a actului adiţional.</w:t>
      </w:r>
    </w:p>
    <w:p w14:paraId="2C3703F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(9) Actul adiţional intră în vigoare la data semnării de către ultima parte. Actul adiţional nu poate avea caracter retroactiv şi nu poate avea scopul sau efectul de a produce schimbări în contractul de finanţare care ar putea aduce atingere condiţiilor iniţiale de acordare a finanţării sau care ar fi contrare principiului tratamentului egal al solicitanţilor/beneficiarilor.</w:t>
      </w:r>
    </w:p>
    <w:p w14:paraId="55A08E79"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(10) Prin excepţie de la prevederile alin. (1), contractul de finanţare poate fi modificat de către AM, unilateral, prin notificare, în următoarele situaţii:</w:t>
      </w:r>
    </w:p>
    <w:p w14:paraId="0B868D14"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a) modificări necesare determinate în principal de modificarea cadrului normativ aplicabil contractului de finanţare, cu respectarea principiilor şi regulilor Programului, în termen de 10 zile lucrătoare de la data intrării în vigoare a modificărilor aduse cadrului normativ, cu excepţia majorării valorii eligibile nerambursabile prevăzute la art. 3 alin (3);</w:t>
      </w:r>
    </w:p>
    <w:p w14:paraId="43DEF8E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b) în caz de dezangajare a fondurilor rămase neutilizate ca urmare a finalizării contractului/contractelor de achiziţie din cadrul proiectului, în termen de 10 zile lucrătoare de la primirea informării de la Beneficiar cu privire la sumele rămase neutilizate ca urmare a finalizării contractelor de achiziţie şi care nu vor face obiectul unor realocări în cadrul bugetului proiectului.</w:t>
      </w:r>
    </w:p>
    <w:p w14:paraId="5C0092EF"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(11) Prin excepţie de la prevederile alin. (1), contractul de finanţare poate fi modificat de Beneficiar prin notificare, care nu face obiectul aprobării de către AM, cu respectarea condiţiilor de eligibilitate stabilite prin Ghidul solicitantului, în următoarele situaţii:</w:t>
      </w:r>
    </w:p>
    <w:p w14:paraId="1D11B7D0"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a) modificări apărute în legătură cu datele de identificare ale Beneficiarului sau partenerilor, respectiv schimbarea denumirii şi/sau a adresei sediului Beneficiarului;</w:t>
      </w:r>
    </w:p>
    <w:p w14:paraId="4BC569FF"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b) schimbarea contului special deschis pentru proiect;</w:t>
      </w:r>
    </w:p>
    <w:p w14:paraId="6F8047C1"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c) înlocuirea reprezentantului legal;</w:t>
      </w:r>
    </w:p>
    <w:p w14:paraId="274DBB70"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d) modificări intervenite între subcategoriile şi/sau între articolele de cheltuieli din cadrul aceleiaşi categorii de cheltuieli, fără modificarea bugetului aprobat pentru respectiva categorie de cheltuieli, cu respectarea condiţionalităţilor stabilite prin Ghidul solicitantului, cu excepţia proiectelor finanţate din Fondul social european Plus;</w:t>
      </w:r>
    </w:p>
    <w:p w14:paraId="6C1C8922"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lastRenderedPageBreak/>
        <w:t>e) modificări intervenite în graficul de depunere a cererilor de prefinanţare/plată/ rambursare a cheltuielilor, cu respectarea condiţionalităţilor stabilite prin Ghidul solicitantului şi detaliate în Manualul Beneficiarului sau, după caz, prin Condiţiile specifice la prezentul contract de finanţare.</w:t>
      </w:r>
    </w:p>
    <w:p w14:paraId="1DC5C834"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(12) În situaţia în care modificările enumerate la alin. (11) lit. a) afectează criteriile sau condiţiile de acordare a finanţării, atunci acestea se realizează prin notificare, cu aprobarea autorităţii de management.</w:t>
      </w:r>
    </w:p>
    <w:p w14:paraId="479E2744"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(13) Netransmiterea notificării prevăzute la alin. (11) atrage imposibilitatea modificării clauzelor contractului de finanţare.</w:t>
      </w:r>
    </w:p>
    <w:p w14:paraId="19553445"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(14) Modificările prevăzute la alin. (11) se aduc la cunoştinţa AM, după caz, în termen de 5 zile lucrătoare de la data intrării în vigoare a modificărilor, sub sancţiunea inopozabilităţii acestora faţă de AM.</w:t>
      </w:r>
    </w:p>
    <w:p w14:paraId="74C3095D"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(15) Prin excepţie de la prevederile alin. (1), contractul de finanţare poate fi modificat prin notificare, cu justificare adecvată şi temeinică, adresată AM, în următoarele situaţii:</w:t>
      </w:r>
    </w:p>
    <w:p w14:paraId="794B2DD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a) modificări intervenite în bugetul estimat al proiectului între categoriile de cheltuieli în limita a 10% din categoria de cheltuială din care se transferă, cu condiţia încadrării în limitele maxime prevăzute în Ghidul solicitantului, în limitele finanţării nerambursabile şi ale indicatorilor de proiect, după caz;</w:t>
      </w:r>
    </w:p>
    <w:p w14:paraId="542B8BD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b) modificarea secţiunii "Justificare" din cadrul bugetului, în condiţiile în care nu se modifică valoarea liniei bugetare;</w:t>
      </w:r>
    </w:p>
    <w:p w14:paraId="25A1A4F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c) înlocuirea sau introducerea de membri noi în echipa de implementare a proiectului, acolo unde este cazul;</w:t>
      </w:r>
    </w:p>
    <w:p w14:paraId="45430926"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d) înlocuirea managerului de proiect;</w:t>
      </w:r>
    </w:p>
    <w:p w14:paraId="37C2DA16"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e) modificarea activităţilor previzionate şi a graficului de implementare, dacă aceasta nu are impact asupra obiectului contractului de finanţare, cuantumului finanţării nerambursabile, a indicatorilor de rezultat, a duratei de implementare şi asupra Planului de monitorizare;</w:t>
      </w:r>
    </w:p>
    <w:p w14:paraId="49354B51"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f) îndreptarea unor erori materiale identificate în cererea de finanţare;</w:t>
      </w:r>
    </w:p>
    <w:p w14:paraId="1C974DA7"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g) corelarea de informaţii din cadrul secţiunilor cererii de finanţare;</w:t>
      </w:r>
    </w:p>
    <w:p w14:paraId="738AB05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h) modificarea planului de achiziţii, dacă aceasta nu are impact asupra obiectului contractului de finanţare, cuantumului finanţării nerambursabile, perioadei de implementare şi, după caz, a indicatorilor de rezultat ai proiectului, cu respectarea prevederilor legale privind procedurile de achiziţie;</w:t>
      </w:r>
    </w:p>
    <w:p w14:paraId="2A9D08E6"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i) modificări ale cererii de finanţare, în scopul actualizării caracteristicilor tehnice pentru echipamentele şi dotările ce urmează a fi achiziţionate, fără a conduce la o diminuare a caracteristicilor tehnice, având în vedere progresul tehnologic înregistrat de la momentul scrierii cererii de finanţare şi până în momentul lansării procedurii de achiziţie, cu condiţia ca aceste modificări să nu afecteze bugetul proiectului, indicatorii, valoarea achiziţiei, perioada de implementare şi să respecte prevederile legale în vigoare;</w:t>
      </w:r>
    </w:p>
    <w:p w14:paraId="656B380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j) modificări intervenite între subcategoriile şi/sau între articolele de cheltuieli din cadrul aceleiaşi categorii de cheltuieli, fără modificarea bugetului aprobat pentru respectiva categorie de cheltuieli, cu respectarea condiţionalităţilor stabilite prin Ghidul solicitantului, în cazul proiectelor finanţate din Fondul social european Plus.</w:t>
      </w:r>
    </w:p>
    <w:p w14:paraId="5D51EBB1"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lastRenderedPageBreak/>
        <w:t>(16) Aprobarea sau respingerea notificării prevăzute la alin. (15) se realizează de către AM în termen de 10 zile lucrătoare de la înregistrarea acesteia, prin informare privind aprobarea/respingerea notificării, prin sistemul MySMIS2021. În interiorul acestui termen pot fi solicitate clarificări de AM care suspendă termenul de aprobare sau de respingere a notificării, fără ca această perioadă de suspendare să depăşească 5 zile lucrătoare.</w:t>
      </w:r>
    </w:p>
    <w:p w14:paraId="2ACBBC25"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(17) Notificarea prevăzută la alin. (15) intră în vigoare şi produce efecte de la data transmiterii de către AM a unei informări privind aprobarea notificării, cu respectarea termenului specificat la alin. (16). Contractul de finanţare nu se modifică în cazul respingerii notificării de către AM. Respingerea notificării trebuie comunicată Beneficiarului, însoţită de motivele respingerii, în termenul prevăzut la alin. (16).</w:t>
      </w:r>
    </w:p>
    <w:p w14:paraId="64FD9EEC"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11. - Conflictul de interese şi incompatibilităţi</w:t>
      </w:r>
      <w:r w:rsidRPr="00D3751E">
        <w:rPr>
          <w:rFonts w:ascii="Trebuchet MS" w:hAnsi="Trebuchet MS" w:cs="Arial"/>
          <w:sz w:val="20"/>
          <w:szCs w:val="20"/>
          <w:lang w:val="pt-PT"/>
        </w:rPr>
        <w:t xml:space="preserve"> </w:t>
      </w:r>
    </w:p>
    <w:p w14:paraId="70C6A883"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 Reprezintă conflict de interese sau incompatibilitate orice situaţie definită ca atare în legislaţia naţională şi europeană.</w:t>
      </w:r>
    </w:p>
    <w:p w14:paraId="103B8F32"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 Părţile contractante se obligă să întreprindă toate diligenţele necesare pentru a identifica şi evita orice conflict de interese sau incompatibilitate definită de legislaţia europeană şi naţională în vigoare şi să se informeze reciproc, cu celeritate şi cu respectarea eventualelor termene prevăzute în contractul de finanţare, în legătură cu orice situaţie de conflict de interese sau incompatibilitate, potenţială, actuală sau consumată.</w:t>
      </w:r>
    </w:p>
    <w:p w14:paraId="57F13054"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 Părţile se obligă să ia toate măsurile pentru respectarea regulilor pentru evitarea conflictului de interese, conform art. 61 din Regulamentul (UE) nr. 2018/1.046 şi capitolului 2 secţiunea 2 din O.U.G. nr. 66/2011, precum şi în conformitate cu alte reglementări naţionale şi europene aplicabile.</w:t>
      </w:r>
    </w:p>
    <w:p w14:paraId="5AD7E513"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(4) Părţile din categoria subiecţilor de drept public au obligaţia de a urmări respectarea prevederilor Legii nr. 161/2003 privind unele măsuri pentru asigurarea transparenţei în exercitarea demnităţilor publice, a funcţiilor publice şi în mediul de afaceri, prevenirea şi sancţionarea corupţiei, în materia conflictului de interese şi a incompatibilităţilor.</w:t>
      </w:r>
    </w:p>
    <w:p w14:paraId="277BEC96"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(5) Beneficiarii care au calitatea de autoritate/entitate contractantă au obligaţia de a respecta aplicarea prevederilor referitoare la conflictul de interese prevăzute de legislaţia în domeniul achiziţiilor publice/achiziţiilor sectoriale.</w:t>
      </w:r>
    </w:p>
    <w:p w14:paraId="582FF26F"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(6) Beneficiarii care nu au calitatea de autoritate/entitate contractantă au obligaţia de a respecta aplicarea prevederilor referitoare la conflictul de interese prevăzute la art. 14 şi 15 din O.U.G. nr. 66/2011, precum şi celelalte prevederi legale aplicabile.</w:t>
      </w:r>
    </w:p>
    <w:p w14:paraId="42747227"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(7) Părţile se obligă să întreprindă toate diligenţele necesare pentru a evita orice incompatibilitate/conflict de interese care apare în decursul implementării şi/sau duratei contractului de finanţare şi să se informeze reciproc, în termen de maximum 5 zile lucrătoare de la luarea la cunoştinţă, în legătură cu orice situaţie care dă naştere sau este posibil să dea naştere unei astfel de situaţii.</w:t>
      </w:r>
    </w:p>
    <w:p w14:paraId="084C163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(8) Dispoziţiile menţionate la alin. (1) - (7) se aplică partenerilor, subcontractorilor, furnizorilor şi angajaţilor Beneficiarului, precum şi angajaţilor AM implicaţi în realizarea prevederilor prezentului contract de finanţare.</w:t>
      </w:r>
    </w:p>
    <w:p w14:paraId="69FDF45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lastRenderedPageBreak/>
        <w:t>(9) AM îşi rezervă dreptul de a verifica orice situaţii care dau naştere sau este posibil să dea naştere unei situaţii de incompatibilitate/unui conflict de interese şi de a lua măsurile necesare impuse de legislaţia aplicabilă, dacă este cazul.</w:t>
      </w:r>
    </w:p>
    <w:p w14:paraId="4E942ADD"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12. - Nereguli</w:t>
      </w:r>
      <w:r w:rsidRPr="00D3751E">
        <w:rPr>
          <w:rFonts w:ascii="Trebuchet MS" w:hAnsi="Trebuchet MS" w:cs="Arial"/>
          <w:sz w:val="20"/>
          <w:szCs w:val="20"/>
          <w:lang w:val="pt-PT"/>
        </w:rPr>
        <w:t xml:space="preserve"> </w:t>
      </w:r>
    </w:p>
    <w:p w14:paraId="253D3807"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 Părţile se obligă să ia toate măsurile pentru prevenirea neregulilor în conformitate cu O.U.G. nr. 66/2011.</w:t>
      </w:r>
    </w:p>
    <w:p w14:paraId="389B32E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 Dacă, în procesul de verificare a cererilor de rambursare/plată, AM identifică abateri de la aplicarea prevederilor legislaţiei naţionale şi europene în domeniul achiziţiilor publice/achiziţiilor sectoriale, respectiv a prevederilor legislaţiei privind achiziţiile efectuate de beneficiarii privaţi, înainte de efectuarea plăţii, AM aplică măsurile prevăzute de O.U.G. nr. 66/2011.</w:t>
      </w:r>
    </w:p>
    <w:p w14:paraId="34FD3B10"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 Dacă în urma sesizării Parchetului European/DLAF/organelor de urmărire penală ca urmare a constatării unor indicii de fraudă, procurorul dispune trimiterea în judecată şi sesizează instanţa, până la rămânerea definitivă a hotărârii instanţei de judecată, AM suspendă autorizarea la plata/rambursarea sumelor solicitate de Beneficiar aferente contractelor economice/contractului de finanţare/componentei din cadrul contractului de finanţare, pentru care a fost formulată sesizarea.</w:t>
      </w:r>
    </w:p>
    <w:p w14:paraId="71CF988C"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(4) În situaţia prevăzută la alin. (3), la solicitarea Beneficiarului, se poate aplica drept măsură subsecventă şi suspendarea aplicării prevederilor contractului de finanţare în vederea prelungirii perioadei de implementare, fără ca aceasta să depăşească data de 31 decembrie 2029.</w:t>
      </w:r>
    </w:p>
    <w:p w14:paraId="441C147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(5) Pentru recuperarea sumelor virate în baza cererilor de plată, nejustificate prin cereri de rambursare sau a cheltuielilor constatate ca neeligibile, Beneficiarul/partenerii vor fi notificaţi de către AM cu privire la obligaţia restituirii acestora în termen de 5 zile de la primirea notificării. În situaţia nerestituirii respectivelor sume în termenul anterior menţionat, recuperarea sumelor se realizează în conformitate cu prevederile O.U.G. nr. 133/2021.</w:t>
      </w:r>
    </w:p>
    <w:p w14:paraId="044AF354"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13. - Monitorizare şi raportare</w:t>
      </w:r>
      <w:r w:rsidRPr="00D3751E">
        <w:rPr>
          <w:rFonts w:ascii="Trebuchet MS" w:hAnsi="Trebuchet MS" w:cs="Arial"/>
          <w:sz w:val="20"/>
          <w:szCs w:val="20"/>
          <w:lang w:val="pt-PT"/>
        </w:rPr>
        <w:t xml:space="preserve"> </w:t>
      </w:r>
    </w:p>
    <w:p w14:paraId="4A6590E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 Monitorizarea proiectului care face obiectul contractului de finanţare este realizată de către AM în conformitate cu prevederile legale aplicabile şi cu prevederile prezentului contract de finanţare.</w:t>
      </w:r>
    </w:p>
    <w:p w14:paraId="35755213"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 AM realizează monitorizarea proiectelor:</w:t>
      </w:r>
    </w:p>
    <w:p w14:paraId="70DA8069"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a) prin urmărirea şi validarea îndeplinirii indicatorilor de etapă din Planul de monitorizare a proiectului, pe baza documentelor justificative transmise de Beneficiar şi, după caz, a constatărilor din teren, cu ocazia vizitelor la faţa locului efectuate;</w:t>
      </w:r>
    </w:p>
    <w:p w14:paraId="097D305D"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b) prin verificarea rapoartelor de progres elaborate de Beneficiar, disponibile în MySMIS2021, şi a documentelor justificative care însoţesc Raportul de progres, în scopul urmăririi progresului proiectelor şi stadiului îndeplinirii indicatorilor de realizare şi rezultat;</w:t>
      </w:r>
    </w:p>
    <w:p w14:paraId="22B508C6"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c) prin vizite de monitorizare şi vizite la faţa locului, pentru a verifica progresul fizic al activităţilor şi stadiul realizării indicatorilor, îndeplinirea indicatorilor de etapă;</w:t>
      </w:r>
    </w:p>
    <w:p w14:paraId="161E551F"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lastRenderedPageBreak/>
        <w:t>d) prin vizite pe teren la Beneficiarii proiectelor, postimplementare, pe perioada în care Beneficiarul are obligaţia de a asigura sustenabilitatea/durabilitatea proiectului, respectiv caracterul durabil al operaţiunilor potrivit prevederilor art. 65 din Regulamentul (UE) nr. 2021/1.060, după caz.</w:t>
      </w:r>
    </w:p>
    <w:p w14:paraId="24B43ACA"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 Pentru a furniza informaţiile necesare AM pentru monitorizarea proiectului, Beneficiarul elaborează rapoarte de progres, cu o frecvenţă de 90 de zile de la semnarea contractului de finanțare, în conformitate cu prevederile prezentului contract de finanţare.</w:t>
      </w:r>
    </w:p>
    <w:p w14:paraId="31401786"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(4) Raportul de progres se generează prin sistemul informatic MySMIS2021/SMIS2021+ de către Beneficiar şi se transmite AM în 30 de zile de la finalizarea perioadei de raportare.</w:t>
      </w:r>
    </w:p>
    <w:p w14:paraId="02D335B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(5) În cazul proiectelor de infrastructură şi al proiectelor care presupun execuţie de lucrări, Raportul de progres are ca surse de informaţii posibile: jurnalul de şantier, procesele-verbale de lucrări ascunse, fazele determinante ale proiectelor, fişele de pontaj, graficele de lucrări, rapoartele de activitate şi alte documente similare.</w:t>
      </w:r>
    </w:p>
    <w:p w14:paraId="7BC16720"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(6) În procesul de monitorizare a proiectelor, AM va verifica şi confirma îndeplinirea indicatorilor de etapă, în conformitate cu Planul de monitorizare a proiectului.</w:t>
      </w:r>
    </w:p>
    <w:p w14:paraId="459E442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(7) În procesul de monitorizare a proiectelor, AM întreprinde măsuri de sprijinire a Beneficiarului pentru identificarea şi stabilirea de posibile măsuri de remediere pentru buna implementare a contractului de finanţare, în condiţiile prevăzute de legislaţia în vigoare.</w:t>
      </w:r>
    </w:p>
    <w:p w14:paraId="63A9F4A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(8) AM poate să aplice una sau mai multe dintre următoarele măsuri corective pentru cheltuielile aferente perioadei de raportare solicitate la rambursare în cazul nerespectării repetate a termenului de depunere a raportului care conduce la apariţia de decalaje între progresul fizic la nivelul ţintelor asumate şi stadiul din rapoartele de progres.</w:t>
      </w:r>
    </w:p>
    <w:p w14:paraId="0A1C362A"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(9) AM elaborează Raportul de vizită care se generează prin sistemul informatic MySMIS2021 în termen de 10 zile lucrătoare de la data vizitei efectuate la faţa locului. Raportul de vizită poate include acţiuni corective şi recomandări adresate Beneficiarului, precum şi termenele de realizare care sunt obligatoriu de respectat de către Beneficiar.</w:t>
      </w:r>
    </w:p>
    <w:p w14:paraId="7756AE44"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(10) În procesul de monitorizare a proiectelor, AM va urmări implementarea recomandărilor şi acţiunilor corective, pe baza rapoartelor prezentate de Beneficiar şi/sau a vizitelor la faţa locului, după caz.</w:t>
      </w:r>
    </w:p>
    <w:p w14:paraId="53684BB5"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(11) Cu excepţia primului indicator de etapă, în cazul neîndeplinirii celorlalţi indicatori de etapă la termenele prevăzute în Planul de monitorizare, actualizat prin actele adiţionale aprobate, AM are dreptul să aplice, în funcţie de analiza obiectivă şi riscurile identificate, următoarele măsuri</w:t>
      </w:r>
      <w:r w:rsidRPr="00D3751E">
        <w:rPr>
          <w:rFonts w:ascii="Trebuchet MS" w:hAnsi="Trebuchet MS" w:cs="Arial"/>
          <w:sz w:val="20"/>
          <w:szCs w:val="20"/>
          <w:vertAlign w:val="superscript"/>
          <w:lang w:val="pt-PT"/>
        </w:rPr>
        <w:t>3</w:t>
      </w:r>
      <w:r w:rsidRPr="00D3751E">
        <w:rPr>
          <w:rFonts w:ascii="Trebuchet MS" w:hAnsi="Trebuchet MS" w:cs="Arial"/>
          <w:sz w:val="20"/>
          <w:szCs w:val="20"/>
          <w:lang w:val="pt-PT"/>
        </w:rPr>
        <w:t>:</w:t>
      </w:r>
    </w:p>
    <w:p w14:paraId="632D32E6"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vertAlign w:val="superscript"/>
          <w:lang w:val="pt-PT"/>
        </w:rPr>
        <w:t>3</w:t>
      </w:r>
      <w:r w:rsidRPr="00D3751E">
        <w:rPr>
          <w:rFonts w:ascii="Trebuchet MS" w:hAnsi="Trebuchet MS" w:cs="Arial"/>
          <w:sz w:val="20"/>
          <w:szCs w:val="20"/>
          <w:lang w:val="pt-PT"/>
        </w:rPr>
        <w:t xml:space="preserve"> Aceste prevederi sunt detaliate în Condiţii specifice.</w:t>
      </w:r>
    </w:p>
    <w:p w14:paraId="58067AB8"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a) întreruperea termenului de plată pentru cererile de plată/cererile de prefinanţare/cererile de rambursare până la îndeplinirea indicatorului de etapă, cu condiţia ca îndeplinirea indicatorului să survină în perioada prevăzută la art. 74 alin. (1) lit. b din Regulamentul (UE) nr. 2021/1.060;</w:t>
      </w:r>
    </w:p>
    <w:p w14:paraId="0B9EC488"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lastRenderedPageBreak/>
        <w:t xml:space="preserve">b) respingerea, în tot sau în parte, a cererii de plată/cererii de prefinanţare/cererii de rambursare, în condiţiile art. 25 alin. (5) din O.U.G. nr. 133/2021, dacă nu au fost transmise dovezile privind îndeplinirea indicatorului de etapă în termenul specificat la lit. a); </w:t>
      </w:r>
    </w:p>
    <w:p w14:paraId="64E64728"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c) aplicarea unor penalităţi de întârziere, stabilite ca procent din valoarea cererii de plată/cererii de prefinanţare/cererii de rambursare, în funcţie de valoarea resurselor financiare prevăzute pentru îndeplinirea indicatorului de etapă raportat la valoarea respectivei cereri sau ca procent în limita a 5% din valoarea eligibilă a contractului de finanţare, în situaţia neîndeplinirii a 3 indicatori de etapă consecutivi din motive imputabile Beneficiarului;</w:t>
      </w:r>
    </w:p>
    <w:p w14:paraId="7144BABF"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d) suspendarea implementării proiectului până la încetarea cauzelor obiective care afectează derularea activităţilor şi atingerea indicatorilor de etapă;</w:t>
      </w:r>
    </w:p>
    <w:p w14:paraId="74BD1CD5"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e) rezilierea contractului de finanţare de către AM, în condiţiile prevăzute la art. 37 şi 38 din O.U.G. nr. 133/2021;</w:t>
      </w:r>
    </w:p>
    <w:p w14:paraId="16080381"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 xml:space="preserve">f) alte măsuri specifice, în conformitate cu prevederile naţionale şi regulamentele europene aplicabile: </w:t>
      </w:r>
    </w:p>
    <w:p w14:paraId="4C7B2389"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(12) Măsurile corective specificate la alin. (11) şi condiţiile de aplicare a acestora sunt detaliate în Condiţiile specifice ale contractului de finanţare.</w:t>
      </w:r>
    </w:p>
    <w:p w14:paraId="2B0F1709"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(13) În cazul nerealizării indicatorilor de etapă din primul an de implementare, în decurs de 6 luni de la finalizarea primului an de implementare, din motive imputabile Beneficiarului, precum şi în situaţia unor întârzieri semnificative în îndeplinirea indicatorilor de etapă care afectează substanţial sau fac imposibilă realizarea obiectivelor şi atingerea rezultatelor proiectului asumate prin contractul de finanţare, AM poate proceda la rezilierea contractului de finanţare potrivit prevederilor art. 37 şi 38 din O.U.G. nr. 133/2021 şi recuperarea sumelor deja plătite Beneficiarului.</w:t>
      </w:r>
    </w:p>
    <w:p w14:paraId="1AC03F5E" w14:textId="77777777" w:rsidR="00562F5C" w:rsidRPr="00D3751E" w:rsidRDefault="00562F5C" w:rsidP="00BE2350">
      <w:pPr>
        <w:pStyle w:val="al"/>
        <w:spacing w:line="345" w:lineRule="atLeast"/>
        <w:rPr>
          <w:rFonts w:ascii="Trebuchet MS" w:hAnsi="Trebuchet MS" w:cs="Arial"/>
          <w:sz w:val="20"/>
          <w:szCs w:val="20"/>
          <w:lang w:val="pt-PT"/>
        </w:rPr>
      </w:pPr>
    </w:p>
    <w:p w14:paraId="7CF38D0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14. - Forţa majoră</w:t>
      </w:r>
      <w:r w:rsidRPr="00D3751E">
        <w:rPr>
          <w:rFonts w:ascii="Trebuchet MS" w:hAnsi="Trebuchet MS" w:cs="Arial"/>
          <w:sz w:val="20"/>
          <w:szCs w:val="20"/>
          <w:lang w:val="pt-PT"/>
        </w:rPr>
        <w:t xml:space="preserve"> </w:t>
      </w:r>
    </w:p>
    <w:p w14:paraId="26775BA8"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 Prin forţă majoră se înţelege orice eveniment extern, imprevizibil, absolut invincibil şi inevitabil, intervenit după data semnării contractului de finanţare, care împiedică executarea în tot sau în parte a contractului de finanţare şi care exonerează de răspundere partea care o invocă. Forţa majoră se constată de o autoritate competentă.</w:t>
      </w:r>
    </w:p>
    <w:p w14:paraId="4C040263"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 Pot constitui cauze de forţă majoră evenimente cum ar fi: crize medicale pandemice, calamităţile naturale (cutremure, inundaţii, alunecări de teren), război, revoluţie, embargou, enumerarea nefiind exhaustivă. Nu este considerat eveniment de forţă majoră un eveniment asemenea celor de mai sus, care însă, fără a crea o imposibilitate de executare, face doar extrem de costisitoare executarea obligaţiilor uneia din părţi.</w:t>
      </w:r>
    </w:p>
    <w:p w14:paraId="50DC7F4F"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 Partea care invocă forţa majoră are obligaţia de a notifica celeilalte părţi cazul de forţă majoră în termen de 10 zile lucrătoare de la data apariţiei şi de a dovedi existenţa situaţiei de forţă majoră în baza unui document eliberat sau emis de către autoritatea competentă, în termen de cel mult 15 zile lucrătoare de la data comunicării acestuia. De asemenea, are obligaţia de a comunica celeilalte părţi, în scris, încetarea situaţiei de forţă majoră, în termen de 10 zile lucrătoare de la intervenirea încetării.</w:t>
      </w:r>
    </w:p>
    <w:p w14:paraId="360CD064"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lastRenderedPageBreak/>
        <w:t>(4) Părţile au obligaţia de a lua orice măsuri care le stau la dispoziţie în vederea limitării consecinţelor cazului de forţă majoră.</w:t>
      </w:r>
    </w:p>
    <w:p w14:paraId="24A36C3D"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(5) Dacă partea care invocă forţa majoră nu procedează la notificarea începerii şi încetării cazului de forţă majoră, în condiţiile şi termenele prevăzute, va suporta toate daunele provocate celeilalte părţi prin lipsa notificării.</w:t>
      </w:r>
    </w:p>
    <w:p w14:paraId="2C7C26D2"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(6) Executarea contractului de finanţare va fi suspendată prin decizia AM de la data apariţiei cazului de forţă majoră pe perioada de acţiune a acesteia, fără a prejudicia drepturile ce se cuvin părţilor anterior apariţiei cazului de forţă majoră.</w:t>
      </w:r>
    </w:p>
    <w:p w14:paraId="31EA04C8"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(7) În cazul în care executarea contractului de finanţare este suspendată pentru o perioadă mai mare de 3 luni sau dacă se poate demonstra că executarea acestuia a devenit imposibilă, părţile se vor întâlni într-un termen de cel mult 10 zile lucrătoare de la expirarea perioadei de 3 luni sau de la data constatării imposibilităţii de executare a contractului de finanţare, pentru a conveni asupra modului de continuare, modificare sau încetare a contractului de finanţare. Dacă o înţelegere a părţilor asupra modului de continuare, modificare sau încetare a contractului de finanţare nu se materializează, oricare dintre părţi poate să îi notifice celeilalte părţi rezoluţiunea contractului, în mod unilateral, fără alte formalităţi şi fără dreptul de a solicita despăgubiri din acest motiv.</w:t>
      </w:r>
    </w:p>
    <w:p w14:paraId="79C632DC"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15. - Încetarea contractului de finanţare şi recuperarea sumelor plătite necuvenit ca urmare a unor nereguli</w:t>
      </w:r>
      <w:r w:rsidRPr="00D3751E">
        <w:rPr>
          <w:rFonts w:ascii="Trebuchet MS" w:hAnsi="Trebuchet MS" w:cs="Arial"/>
          <w:sz w:val="20"/>
          <w:szCs w:val="20"/>
          <w:lang w:val="pt-PT"/>
        </w:rPr>
        <w:t xml:space="preserve"> </w:t>
      </w:r>
    </w:p>
    <w:p w14:paraId="439A29B1"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 Oricare dintre părţi poate decide rezilierea prezentului contract de finanţare, fără îndeplinirea altor formalităţi, în cazul neîndeplinirii culpabile de către cealaltă parte a obligaţiilor care îi revin în baza prezentului contract de finanţare.</w:t>
      </w:r>
    </w:p>
    <w:p w14:paraId="0C3E4A3D"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 AM poate decide rezilierea prezentului contract de finanţare printr-o notificare scrisă adresată Beneficiarului, fără intervenţia instanţei sau a oricăror alte formalităţi, cu recuperarea integrală a sumelor plătite, precum şi a dobânzilor şi penalităţilor aferente potrivit dispoziţiilor legale aplicabile, în următoarele cazuri:</w:t>
      </w:r>
    </w:p>
    <w:p w14:paraId="4CB2BEF5"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a) în situaţia în care Beneficiarul nu a început executarea contractului potrivit art. 7 alin. (2) din prezentul contract de finanţare;</w:t>
      </w:r>
    </w:p>
    <w:p w14:paraId="00548AB5"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b) în situaţia în care AM constată că cele declarate pe propria răspundere de Beneficiar nu corespund realităţii sau documentele/autorizaţiile/avizele depuse în vederea obţinerii finanţării nerambursabile sunt false/incomplete/expirate/inexacte/nu corespund realităţii;</w:t>
      </w:r>
    </w:p>
    <w:p w14:paraId="465A0317"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c) dacă Beneficiarul încalcă prevederile art. 9 alin. (2) din prezentul contract de finanţare;</w:t>
      </w:r>
    </w:p>
    <w:p w14:paraId="0635722F"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d) dacă se constată faptul că proiectul face obiectul unei alte finanţări din fonduri publice naţionale sau europene sau faptul că a mai beneficiat de finanţare din alte programe naţionale sau europene, pentru aceleaşi costuri/activităţi în ultimii 3/5 ani, după caz;</w:t>
      </w:r>
    </w:p>
    <w:p w14:paraId="4B6A3B5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e) în cazul neîndeplinirii indicatorilor de etapă în condiţiile prevăzute la art. 13 alin. (11) lit. e) şi alin. (13) din prezentul contract de finanţare;</w:t>
      </w:r>
    </w:p>
    <w:p w14:paraId="4573FA6F"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lastRenderedPageBreak/>
        <w:t>f) Beneficiarul nu pune în aplicare recomandările/acţiunile corective prevăzute în rapoartele de vizită la faţa locului şi/sau rapoartele şi recomandările Autorităţii de Audit, Curţii de Conturi, Comisiei Europene/auditului Comisiei Europene sau ale Curţii Europene de Conturi în termenele şi condiţiile prevăzute în acestea;</w:t>
      </w:r>
    </w:p>
    <w:p w14:paraId="0D5B4F24"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g) Beneficiarul nu furnizează corect şi complet informaţiile solicitate conform art. 7 alin. (36) din prezentul contract de finanţare ori dacă informaţiile transmise se constată a fi unele false;</w:t>
      </w:r>
    </w:p>
    <w:p w14:paraId="02F7D141"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 Decizia de reziliere a contractului de finanţare emisă de AM prin care se individualizează sumele de restituit exprimate în moneda naţională constituie titlu de creanţă în condiţiile legii.</w:t>
      </w:r>
    </w:p>
    <w:p w14:paraId="78234E6D"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(4) Contractul de finanţare poate înceta prin acordul părţilor, cu condiţia restituirii finanţării acordate.</w:t>
      </w:r>
    </w:p>
    <w:p w14:paraId="7D84A50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(5) Beneficiarul, de comun acord cu partenerii, poate solicita încetarea contractului de finanţare prin acordul părţilor, când niciuna dintre părţi nu a început executarea obligaţiilor asumate prin contractul de finanţare.</w:t>
      </w:r>
    </w:p>
    <w:p w14:paraId="64BD0BC9"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16. - Soluţionarea litigiilor</w:t>
      </w:r>
      <w:r w:rsidRPr="00D3751E">
        <w:rPr>
          <w:rFonts w:ascii="Trebuchet MS" w:hAnsi="Trebuchet MS" w:cs="Arial"/>
          <w:sz w:val="20"/>
          <w:szCs w:val="20"/>
          <w:lang w:val="pt-PT"/>
        </w:rPr>
        <w:t xml:space="preserve"> </w:t>
      </w:r>
    </w:p>
    <w:p w14:paraId="437A080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 Părţile vor depune toate eforturile pentru a rezolva pe cale amiabilă orice neînţelegere sau dispută care poate apărea între ele în cadrul sau în legătură cu îndeplinirea contractului de finanţare.</w:t>
      </w:r>
    </w:p>
    <w:p w14:paraId="3B9368A9"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 În cazul în care divergenţele contractuale nu se soluţionează pe cale amiabilă, litigiul va fi soluţionat de către instanţele de judecată competente din România, în condiţiile prevăzute de Legea contenciosului administrativ nr. 554/2004.</w:t>
      </w:r>
    </w:p>
    <w:p w14:paraId="2122ECF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17. - Transparenţă</w:t>
      </w:r>
      <w:r w:rsidRPr="00D3751E">
        <w:rPr>
          <w:rFonts w:ascii="Trebuchet MS" w:hAnsi="Trebuchet MS" w:cs="Arial"/>
          <w:sz w:val="20"/>
          <w:szCs w:val="20"/>
          <w:lang w:val="pt-PT"/>
        </w:rPr>
        <w:t xml:space="preserve"> </w:t>
      </w:r>
    </w:p>
    <w:p w14:paraId="53EA9EB2"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 Contractul de finanţare, inclusiv anexele sale, precum şi informaţiile şi documentele vizând executarea acestora constituie informaţii de interes public în condiţiile prevederilor Legii nr. 544/2001 privind liberul acces la informaţiile de interes public, cu respectarea excepţiilor prevăzute de aceasta şi a celor stabilite prin prezentul contract de finanţare.</w:t>
      </w:r>
    </w:p>
    <w:p w14:paraId="6AD6E502"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 Următoarele elemente, aşa cum rezultă acestea din contractul de finanţare şi anexele acestuia, inclusiv, dacă este cazul, din notificările şi actele adiţionale prin care se aduc modificări contractului de finanţare sau anexelor sale, nu pot avea caracter confidenţial:</w:t>
      </w:r>
    </w:p>
    <w:p w14:paraId="511C6F78"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a) denumirea proiectului, denumirea completă a Beneficiarului şi, dacă aceştia există, a partenerilor, data de începere şi cea de finalizare ale proiectului, date de contact - minimum o adresă de e-mail şi număr de telefon - funcţionale pentru echipa proiectului; locul de implementare a proiectului - localitate, judeţ, regiune şi, dacă proiectul include activităţi care se adresează publicului, adresa exactă şi datele de contact pentru spaţiile dedicate acestor activităţi în cadrul proiectului;</w:t>
      </w:r>
    </w:p>
    <w:p w14:paraId="4AED1E3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b) valoarea totală a finanţării nerambursabile acordate şi intensitatea sprijinului, exprimate atât ca sumă concretă, cât şi ca procent din totalul cheltuielilor eligibile ale proiectului, precum şi valoarea plăţilor efectuate, prioritate/obiectiv specific, număr apel şi cod SMIS;</w:t>
      </w:r>
    </w:p>
    <w:p w14:paraId="05AE0D97"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c) dimensiunea şi caracteristicile grupului-ţintă şi, după caz, ale Beneficiarilor finali ai proiectului;</w:t>
      </w:r>
    </w:p>
    <w:p w14:paraId="014BFDE6"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d) informaţiile privind resursele umane din cadrul proiectului: denumirea postului, timpul de lucru;</w:t>
      </w:r>
    </w:p>
    <w:p w14:paraId="5B582231"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e) rezultatele estimate şi cele realizate ale proiectului, atât cele corespunzătoare obiectivelor, cât şi cele corespunzătoare activităţilor, cu referire la indicatorii stabiliţi;</w:t>
      </w:r>
    </w:p>
    <w:p w14:paraId="5F249023"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lastRenderedPageBreak/>
        <w:t>f) denumirea furnizorilor de produse, prestatorilor de servicii şi executanţilor de lucrări contractaţi în cadrul proiectului, precum şi obiectul contractului, valoarea acestuia şi plăţile efectuate;</w:t>
      </w:r>
    </w:p>
    <w:p w14:paraId="18BA67F5"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g) elementele de sustenabilitate a rezultatelor proiectului, respectiv de durabilitate a investiţiilor în infrastructură sau producţie - informaţii conform contractului de finanţare, respectiv conform condiţiilor prevăzute în art. 65 din Regulamentul (UE) nr. 2021/1.060.</w:t>
      </w:r>
    </w:p>
    <w:p w14:paraId="4232E24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 Următoarele informaţii, aşa cum rezultă acestea din contractul de finanţare şi anexele acestuia, inclusiv, dacă este cazul, din actele adiţionale prin care se aduc modificări contractului de finanţare sau anexelor sale, vor fi publicate pe site-ul AM, în condiţiile prevederilor art. 49 alin. (3) şi (4) din Regulamentul (UE) nr. 2021/1.060:</w:t>
      </w:r>
    </w:p>
    <w:p w14:paraId="35202B3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a) în cazul persoanelor juridice, denumirea Beneficiarului şi, în cazul unei achiziţii, denumirea contractantului; în cazul în care Beneficiarul este o persoană fizică, prenumele şi numele;</w:t>
      </w:r>
    </w:p>
    <w:p w14:paraId="2E27B4C1"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b) denumirea proiectului;</w:t>
      </w:r>
    </w:p>
    <w:p w14:paraId="444E11AD"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c) scopul proiectului şi realizările preconizate sau efective ale acestuia;</w:t>
      </w:r>
    </w:p>
    <w:p w14:paraId="0208F138"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d) data de începere a proiectului;</w:t>
      </w:r>
    </w:p>
    <w:p w14:paraId="2C1A9CE1"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e) data preconizată sau efectivă de încheiere a proiectului;</w:t>
      </w:r>
    </w:p>
    <w:p w14:paraId="14012BAD"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f) valoarea totală a proiectului;</w:t>
      </w:r>
    </w:p>
    <w:p w14:paraId="0BF53E5A"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g) fondul din care se finanţează proiectul;</w:t>
      </w:r>
    </w:p>
    <w:p w14:paraId="5A65C681"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h) obiectivul specific vizat;</w:t>
      </w:r>
    </w:p>
    <w:p w14:paraId="0D7D2B77"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i) rata de cofinanţare a Uniunii Europene;</w:t>
      </w:r>
    </w:p>
    <w:p w14:paraId="15F93D97"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j) indicatorul de localizare sau datele de localizare pentru proiectul şi ţara în cauză.</w:t>
      </w:r>
    </w:p>
    <w:p w14:paraId="15BC76AA"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(4) Pentru proiectele mobile sau proiectele care acoperă mai multe locuri se publică pe site-ul AM şi localizarea Beneficiarului, atunci când acesta este o persoană juridică, sau nivelul de regiune NUTS 2, atunci când Beneficiarul este o persoană fizică.</w:t>
      </w:r>
    </w:p>
    <w:p w14:paraId="7A21230F"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18. - Confidenţialitate</w:t>
      </w:r>
      <w:r w:rsidRPr="00D3751E">
        <w:rPr>
          <w:rFonts w:ascii="Trebuchet MS" w:hAnsi="Trebuchet MS" w:cs="Arial"/>
          <w:sz w:val="20"/>
          <w:szCs w:val="20"/>
          <w:lang w:val="pt-PT"/>
        </w:rPr>
        <w:t xml:space="preserve"> </w:t>
      </w:r>
    </w:p>
    <w:p w14:paraId="644AE557"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 Părţile convin prin prezentul contract asupra existenţei şi duratei caracterului confidenţial al documentelor, secţiunilor, respectiv informaţiilor din proiect a căror publicare ar putea aduce atingere principiului concurenţei loiale, respectiv proprietăţii intelectuale ori altor dispoziţii legale aplicabile.</w:t>
      </w:r>
    </w:p>
    <w:p w14:paraId="284D3437"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 Părţile înţeleg să utilizeze informaţiile contractuale doar în scopul de a-şi îndeplini obligaţiile din prezentul contract de finanţare.</w:t>
      </w:r>
    </w:p>
    <w:p w14:paraId="34D8F441"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 AM şi Beneficiarul sunt exoneraţi de răspunderea pentru dezvăluirea de documente sau informaţii stabilite de părţi ca fiind confidenţiale dacă:</w:t>
      </w:r>
    </w:p>
    <w:p w14:paraId="021F2607"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a) informaţia a fost dezvăluită după ce a fost obţinut acordul scris al celeilalte părţi contractante pentru asemenea dezvăluire;</w:t>
      </w:r>
    </w:p>
    <w:p w14:paraId="000287C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sau</w:t>
      </w:r>
    </w:p>
    <w:p w14:paraId="7C209239"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b) partea a fost obligată în mod legal să dezvăluie informaţia;</w:t>
      </w:r>
    </w:p>
    <w:p w14:paraId="089681E0"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sau</w:t>
      </w:r>
    </w:p>
    <w:p w14:paraId="11012A19"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lastRenderedPageBreak/>
        <w:t>c) informaţia devine notorie/publică.</w:t>
      </w:r>
    </w:p>
    <w:p w14:paraId="74B8ABA3"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19. - Protecţia şi prelucrarea datelor cu caracter personal</w:t>
      </w:r>
      <w:r w:rsidRPr="00D3751E">
        <w:rPr>
          <w:rFonts w:ascii="Trebuchet MS" w:hAnsi="Trebuchet MS" w:cs="Arial"/>
          <w:sz w:val="20"/>
          <w:szCs w:val="20"/>
          <w:lang w:val="pt-PT"/>
        </w:rPr>
        <w:t xml:space="preserve"> </w:t>
      </w:r>
    </w:p>
    <w:p w14:paraId="6B9D9302"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 Beneficiarul îşi exprimă acordul cu privire la prelucrarea, stocarea şi arhivarea datelor rezultate pe parcursul derulării contractului de finanţare, precum şi după încetarea acestuia, în scopul verificării modului de implementare şi/sau a respectării clauzelor contractuale şi a legislaţiei naţionale şi europene aplicabile.</w:t>
      </w:r>
    </w:p>
    <w:p w14:paraId="171DAB3D"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 Prezentul contract de finanţare reprezintă un acord ferm pentru părţi în ceea ce priveşte gestionarea şi prelucrarea datelor cu caracter personal primite în vederea îndeplinirii obligaţiilor contractuale, în condiţiile specificate la art. 4 din Regulamentul (UE) nr. 2021/1.060 şi în conformitate cu Regulamentul (UE) nr. 2016/679 şi Legea nr. 190/2018.</w:t>
      </w:r>
    </w:p>
    <w:p w14:paraId="683F1235"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 Datele cu caracter personal ale grupului-ţintă şi, după caz, ale Beneficiarilor finali ai proiectului, ale resurselor umane din cadrul proiectului şi ale subcontractanţilor nu pot fi prelucrate şi publicate, pentru informarea publicului, decât cu informarea prealabilă a acestora asupra scopului prelucrării sau publicării şi obţinerea consimţământului acestora, în condiţiile legii.</w:t>
      </w:r>
    </w:p>
    <w:p w14:paraId="56AA6D4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(4) Măsurile de interoperabilitate, schimbul de date, prelucrarea datelor cu caracter personal se realizează de către autorităţile implicate în gestionarea fondurilor europene, în temeiul art. 4 din Regulamentul (UE) nr. 2021/1.060, exclusiv în legătură cu cererea de finanţare, contractul, în limitele de responsabilitate şi pentru exercitarea responsabilităţilor şi atribuţiilor care le revin în implementarea şi managementul programelor finanţate în cadrul politicii de coeziune 2021-2027, care fac obiectul O.U.G. nr. 23/2023.</w:t>
      </w:r>
    </w:p>
    <w:p w14:paraId="632FC19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20. - Publicarea datelor</w:t>
      </w:r>
      <w:r w:rsidRPr="00D3751E">
        <w:rPr>
          <w:rFonts w:ascii="Trebuchet MS" w:hAnsi="Trebuchet MS" w:cs="Arial"/>
          <w:sz w:val="20"/>
          <w:szCs w:val="20"/>
          <w:lang w:val="pt-PT"/>
        </w:rPr>
        <w:t xml:space="preserve"> În situaţia în care informaţiile de la art. 17 alin (2) reprezintă informaţii cu caracter personal, Beneficiarul îşi va da acordul cu privire la publicarea acestora şi va face dovada îndeplinirii obligaţiei prevăzute la art. 19 alin. (2) şi (3) din prezentul contract de finanţare.</w:t>
      </w:r>
    </w:p>
    <w:p w14:paraId="3A23AF67"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21. - Comunicarea</w:t>
      </w:r>
      <w:r w:rsidRPr="00D3751E">
        <w:rPr>
          <w:rFonts w:ascii="Trebuchet MS" w:hAnsi="Trebuchet MS" w:cs="Arial"/>
          <w:sz w:val="20"/>
          <w:szCs w:val="20"/>
          <w:lang w:val="pt-PT"/>
        </w:rPr>
        <w:t xml:space="preserve"> </w:t>
      </w:r>
    </w:p>
    <w:p w14:paraId="060CD691"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 Întreaga comunicare dintre AM şi Beneficiar legată de prezentul contract de finanţare se va face, în scris, prin MySMIS2021.</w:t>
      </w:r>
    </w:p>
    <w:p w14:paraId="35902B7A"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 În mod excepţional, în eventualitatea unui caz de forţă majoră, a funcţionării defectuoase a sistemului informatic MySMIS2021/SMIS2021+ sau a întreruperii legăturii cu acesta pentru o perioadă care depăşeşte o zi lucrătoare în ultima săptămână înainte de termenul- limită obligatoriu pentru transmiterea prin sistemul informatic a documentelor sau timp de 5 zile lucrătoare consecutive în alte perioade, schimbul de informaţii între AM şi Beneficiar poate avea loc prin e-mail şi/sau pe suport hârtie, la următoarele adrese:</w:t>
      </w:r>
    </w:p>
    <w:p w14:paraId="76E0C700" w14:textId="1FA4F8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 xml:space="preserve">a) pentru Beneficiar: </w:t>
      </w:r>
      <w:r w:rsidR="00562F5C" w:rsidRPr="00D3751E">
        <w:rPr>
          <w:rFonts w:ascii="Trebuchet MS" w:hAnsi="Trebuchet MS" w:cs="Arial"/>
          <w:sz w:val="20"/>
          <w:szCs w:val="20"/>
          <w:lang w:val="pt-PT"/>
        </w:rPr>
        <w:t>Str. 1 Decembrie 1918 nr. 1, Municipiul Călăraşi, județul Călăraşi, cod poștal 910019</w:t>
      </w:r>
    </w:p>
    <w:p w14:paraId="283F497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 xml:space="preserve">b) pentru AM: Municipiul Călăraşi, Str. Munteniei nr. 7A, județul Călăraşi, România, cod poștal 910164 </w:t>
      </w:r>
    </w:p>
    <w:p w14:paraId="1EF2BE8A"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 AM poate comunica precizări referitoare la modele şi formate de formulare care pot fi utilizate pentru aplicarea prevederilor prezentului contract de finanţare.</w:t>
      </w:r>
    </w:p>
    <w:p w14:paraId="61847937"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22. - Legea aplicabilă şi limba utilizată</w:t>
      </w:r>
      <w:r w:rsidRPr="00D3751E">
        <w:rPr>
          <w:rFonts w:ascii="Trebuchet MS" w:hAnsi="Trebuchet MS" w:cs="Arial"/>
          <w:sz w:val="20"/>
          <w:szCs w:val="20"/>
          <w:lang w:val="pt-PT"/>
        </w:rPr>
        <w:t xml:space="preserve"> (1) Legea care guvernează contractul de finanţare şi în conformitate cu care este interpretat este legea română şi regulamentele europene direct aplicabile.</w:t>
      </w:r>
    </w:p>
    <w:p w14:paraId="322B1EF4"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 Limba acestui contract de finanţare este limba română.</w:t>
      </w:r>
    </w:p>
    <w:p w14:paraId="3B4F46AA"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lastRenderedPageBreak/>
        <w:t>Art. 23. - Prevederi privind ajutorul de stat/de minimis</w:t>
      </w:r>
      <w:r w:rsidRPr="00D3751E">
        <w:rPr>
          <w:rFonts w:ascii="Trebuchet MS" w:hAnsi="Trebuchet MS" w:cs="Arial"/>
          <w:sz w:val="20"/>
          <w:szCs w:val="20"/>
          <w:lang w:val="pt-PT"/>
        </w:rPr>
        <w:t xml:space="preserve"> Dacă este cazul, pentru proiectele care implică măsuri de natura ajutorului de stat/de minimis</w:t>
      </w:r>
    </w:p>
    <w:p w14:paraId="6B56C14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Condiţiile privind acordarea, utilizarea şi recuperarea ajutorului de stat/de minimis sunt prevăzute în anexa nr. 5 - Reguli aplicabile ajutorului de stat/de minimis acordat, la prezentul contract de finanţare.</w:t>
      </w:r>
    </w:p>
    <w:p w14:paraId="7A425CC5"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24. - Anexele contractului de finanţare</w:t>
      </w:r>
      <w:r w:rsidRPr="00D3751E">
        <w:rPr>
          <w:rFonts w:ascii="Trebuchet MS" w:hAnsi="Trebuchet MS" w:cs="Arial"/>
          <w:sz w:val="20"/>
          <w:szCs w:val="20"/>
          <w:lang w:val="pt-PT"/>
        </w:rPr>
        <w:t xml:space="preserve"> Următoarele documente sunt anexe la prezentul contract de finanţare şi constituie parte integrantă a acestuia, având aceeaşi forţă juridică:</w:t>
      </w:r>
    </w:p>
    <w:p w14:paraId="5EEDDB97"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a) anexa nr. 1 - Cererea de finanţare;</w:t>
      </w:r>
    </w:p>
    <w:p w14:paraId="660E0A97"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b) anexa nr. 2 - Planul de monitorizare a proiectului;</w:t>
      </w:r>
    </w:p>
    <w:p w14:paraId="43B941C9"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c) anexa nr. 3 - Graficul cererilor de prefinanţare/plată/rambursare;</w:t>
      </w:r>
    </w:p>
    <w:p w14:paraId="351D8A52"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d) anexa nr. 4 - Acordul de parteneriat încheiat între Liderul de parteneriat şi parteneri (dacă este cazul);</w:t>
      </w:r>
    </w:p>
    <w:p w14:paraId="49503E82"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e) anexa nr. 5 - Reguli aplicabile ajutorului de stat/de minimis acordat (dacă este cazul, conform schemei aprobate);</w:t>
      </w:r>
    </w:p>
    <w:p w14:paraId="267AEF73" w14:textId="77777777" w:rsidR="00BE2350"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f) anexa nr. 6 - Condiţii specifice ale contractului de finanţare (dacă este cazul).</w:t>
      </w:r>
    </w:p>
    <w:p w14:paraId="31458D5A" w14:textId="77777777" w:rsidR="00043177" w:rsidRPr="00D3751E" w:rsidRDefault="00043177" w:rsidP="00BE2350">
      <w:pPr>
        <w:pStyle w:val="al"/>
        <w:spacing w:line="345" w:lineRule="atLeast"/>
        <w:rPr>
          <w:rFonts w:ascii="Trebuchet MS" w:hAnsi="Trebuchet MS" w:cs="Arial"/>
          <w:sz w:val="20"/>
          <w:szCs w:val="20"/>
          <w:lang w:val="pt-PT"/>
        </w:rPr>
      </w:pPr>
    </w:p>
    <w:p w14:paraId="5540C9AC"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Anexele nr. 3, 4, 5, 6 au formatul stabilit de AM în funcţie de specificul programului sau al apelului de proiecte.</w:t>
      </w:r>
    </w:p>
    <w:p w14:paraId="31859C7C"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25. - Clauze rezolutorii şi suspensive</w:t>
      </w:r>
      <w:r w:rsidRPr="00D3751E">
        <w:rPr>
          <w:rFonts w:ascii="Trebuchet MS" w:hAnsi="Trebuchet MS" w:cs="Arial"/>
          <w:sz w:val="20"/>
          <w:szCs w:val="20"/>
          <w:lang w:val="pt-PT"/>
        </w:rPr>
        <w:t xml:space="preserve"> Dacă este cazul/Dacă a fost prevăzută această posibilitate în Ghidul solicitantului</w:t>
      </w:r>
    </w:p>
    <w:p w14:paraId="6DD10215" w14:textId="04859C6F" w:rsidR="00BE2350" w:rsidRDefault="00BE2350" w:rsidP="00BE2350">
      <w:pPr>
        <w:pStyle w:val="al"/>
        <w:spacing w:line="345" w:lineRule="atLeast"/>
        <w:rPr>
          <w:rFonts w:ascii="Trebuchet MS" w:hAnsi="Trebuchet MS" w:cs="Arial"/>
          <w:sz w:val="20"/>
          <w:szCs w:val="20"/>
          <w:lang w:val="pt-PT"/>
        </w:rPr>
      </w:pPr>
      <w:r w:rsidRPr="00FE6834">
        <w:rPr>
          <w:rFonts w:ascii="Trebuchet MS" w:hAnsi="Trebuchet MS" w:cs="Arial"/>
          <w:sz w:val="20"/>
          <w:szCs w:val="20"/>
          <w:lang w:val="pt-PT"/>
        </w:rPr>
        <w:t xml:space="preserve">(1) Prezentului contract de finanţare </w:t>
      </w:r>
      <w:r w:rsidR="00B13B9E" w:rsidRPr="00FE6834">
        <w:rPr>
          <w:rFonts w:ascii="Trebuchet MS" w:hAnsi="Trebuchet MS" w:cs="Arial"/>
          <w:sz w:val="20"/>
          <w:szCs w:val="20"/>
          <w:lang w:val="pt-PT"/>
        </w:rPr>
        <w:t xml:space="preserve">nu </w:t>
      </w:r>
      <w:r w:rsidRPr="00FE6834">
        <w:rPr>
          <w:rFonts w:ascii="Trebuchet MS" w:hAnsi="Trebuchet MS" w:cs="Arial"/>
          <w:sz w:val="20"/>
          <w:szCs w:val="20"/>
          <w:lang w:val="pt-PT"/>
        </w:rPr>
        <w:t>i se aplică clauza rezolutorie prevăzută la art. 6 alin. (11) din O.U.G. nr. 23/2023.</w:t>
      </w:r>
    </w:p>
    <w:p w14:paraId="5FE9364E" w14:textId="5C6E2CCA" w:rsidR="0010128F" w:rsidRDefault="00972A62" w:rsidP="00BE2350">
      <w:pPr>
        <w:pStyle w:val="al"/>
        <w:spacing w:line="345" w:lineRule="atLeast"/>
        <w:rPr>
          <w:rFonts w:ascii="Trebuchet MS" w:hAnsi="Trebuchet MS" w:cs="Arial"/>
          <w:sz w:val="20"/>
          <w:szCs w:val="20"/>
        </w:rPr>
      </w:pPr>
      <w:r w:rsidRPr="00972A62">
        <w:rPr>
          <w:rFonts w:ascii="Trebuchet MS" w:hAnsi="Trebuchet MS" w:cs="Arial"/>
          <w:b/>
          <w:bCs/>
          <w:sz w:val="20"/>
          <w:szCs w:val="20"/>
        </w:rPr>
        <w:t xml:space="preserve">(2) </w:t>
      </w:r>
      <w:r w:rsidRPr="00972A62">
        <w:rPr>
          <w:rFonts w:ascii="Trebuchet MS" w:hAnsi="Trebuchet MS" w:cs="Arial"/>
          <w:sz w:val="20"/>
          <w:szCs w:val="20"/>
        </w:rPr>
        <w:t xml:space="preserve">Alte </w:t>
      </w:r>
      <w:proofErr w:type="spellStart"/>
      <w:r w:rsidRPr="00972A62">
        <w:rPr>
          <w:rFonts w:ascii="Trebuchet MS" w:hAnsi="Trebuchet MS" w:cs="Arial"/>
          <w:sz w:val="20"/>
          <w:szCs w:val="20"/>
        </w:rPr>
        <w:t>clauze</w:t>
      </w:r>
      <w:proofErr w:type="spellEnd"/>
      <w:r w:rsidRPr="00972A62">
        <w:rPr>
          <w:rFonts w:ascii="Trebuchet MS" w:hAnsi="Trebuchet MS" w:cs="Arial"/>
          <w:sz w:val="20"/>
          <w:szCs w:val="20"/>
        </w:rPr>
        <w:t xml:space="preserve"> </w:t>
      </w:r>
      <w:proofErr w:type="spellStart"/>
      <w:r w:rsidRPr="00972A62">
        <w:rPr>
          <w:rFonts w:ascii="Trebuchet MS" w:hAnsi="Trebuchet MS" w:cs="Arial"/>
          <w:sz w:val="20"/>
          <w:szCs w:val="20"/>
        </w:rPr>
        <w:t>rezolutorii</w:t>
      </w:r>
      <w:proofErr w:type="spellEnd"/>
      <w:r w:rsidRPr="00972A62">
        <w:rPr>
          <w:rFonts w:ascii="Trebuchet MS" w:hAnsi="Trebuchet MS" w:cs="Arial"/>
          <w:sz w:val="20"/>
          <w:szCs w:val="20"/>
        </w:rPr>
        <w:t xml:space="preserve"> </w:t>
      </w:r>
      <w:proofErr w:type="spellStart"/>
      <w:r w:rsidRPr="00972A62">
        <w:rPr>
          <w:rFonts w:ascii="Trebuchet MS" w:hAnsi="Trebuchet MS" w:cs="Arial"/>
          <w:sz w:val="20"/>
          <w:szCs w:val="20"/>
        </w:rPr>
        <w:t>și</w:t>
      </w:r>
      <w:proofErr w:type="spellEnd"/>
      <w:r w:rsidRPr="00972A62">
        <w:rPr>
          <w:rFonts w:ascii="Trebuchet MS" w:hAnsi="Trebuchet MS" w:cs="Arial"/>
          <w:sz w:val="20"/>
          <w:szCs w:val="20"/>
        </w:rPr>
        <w:t>/</w:t>
      </w:r>
      <w:proofErr w:type="spellStart"/>
      <w:r w:rsidRPr="00972A62">
        <w:rPr>
          <w:rFonts w:ascii="Trebuchet MS" w:hAnsi="Trebuchet MS" w:cs="Arial"/>
          <w:sz w:val="20"/>
          <w:szCs w:val="20"/>
        </w:rPr>
        <w:t>sau</w:t>
      </w:r>
      <w:proofErr w:type="spellEnd"/>
      <w:r w:rsidRPr="00972A62">
        <w:rPr>
          <w:rFonts w:ascii="Trebuchet MS" w:hAnsi="Trebuchet MS" w:cs="Arial"/>
          <w:sz w:val="20"/>
          <w:szCs w:val="20"/>
        </w:rPr>
        <w:t xml:space="preserve"> suspensive</w:t>
      </w:r>
      <w:r>
        <w:rPr>
          <w:rFonts w:ascii="Trebuchet MS" w:hAnsi="Trebuchet MS" w:cs="Arial"/>
          <w:sz w:val="20"/>
          <w:szCs w:val="20"/>
        </w:rPr>
        <w:t xml:space="preserve">: </w:t>
      </w:r>
      <w:proofErr w:type="spellStart"/>
      <w:r w:rsidRPr="00972A62">
        <w:rPr>
          <w:rFonts w:ascii="Trebuchet MS" w:hAnsi="Trebuchet MS" w:cs="Arial"/>
          <w:sz w:val="20"/>
          <w:szCs w:val="20"/>
        </w:rPr>
        <w:t>dacă</w:t>
      </w:r>
      <w:proofErr w:type="spellEnd"/>
      <w:r w:rsidRPr="00972A62">
        <w:rPr>
          <w:rFonts w:ascii="Trebuchet MS" w:hAnsi="Trebuchet MS" w:cs="Arial"/>
          <w:sz w:val="20"/>
          <w:szCs w:val="20"/>
        </w:rPr>
        <w:t xml:space="preserve"> </w:t>
      </w:r>
      <w:proofErr w:type="spellStart"/>
      <w:r w:rsidRPr="00972A62">
        <w:rPr>
          <w:rFonts w:ascii="Trebuchet MS" w:hAnsi="Trebuchet MS" w:cs="Arial"/>
          <w:sz w:val="20"/>
          <w:szCs w:val="20"/>
        </w:rPr>
        <w:t>este</w:t>
      </w:r>
      <w:proofErr w:type="spellEnd"/>
      <w:r w:rsidRPr="00972A62">
        <w:rPr>
          <w:rFonts w:ascii="Trebuchet MS" w:hAnsi="Trebuchet MS" w:cs="Arial"/>
          <w:sz w:val="20"/>
          <w:szCs w:val="20"/>
        </w:rPr>
        <w:t xml:space="preserve"> </w:t>
      </w:r>
      <w:proofErr w:type="spellStart"/>
      <w:r w:rsidRPr="00972A62">
        <w:rPr>
          <w:rFonts w:ascii="Trebuchet MS" w:hAnsi="Trebuchet MS" w:cs="Arial"/>
          <w:sz w:val="20"/>
          <w:szCs w:val="20"/>
        </w:rPr>
        <w:t>cazul</w:t>
      </w:r>
      <w:proofErr w:type="spellEnd"/>
    </w:p>
    <w:p w14:paraId="1929277E" w14:textId="77777777" w:rsidR="001867E7" w:rsidRDefault="001867E7" w:rsidP="00BE2350">
      <w:pPr>
        <w:pStyle w:val="al"/>
        <w:spacing w:line="345" w:lineRule="atLeast"/>
        <w:rPr>
          <w:rFonts w:ascii="Trebuchet MS" w:hAnsi="Trebuchet MS" w:cs="Arial"/>
          <w:sz w:val="20"/>
          <w:szCs w:val="20"/>
          <w:lang w:val="pt-PT"/>
        </w:rPr>
      </w:pPr>
    </w:p>
    <w:p w14:paraId="0649D2F3"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26. - Dispoziţii finale</w:t>
      </w:r>
      <w:r w:rsidRPr="00D3751E">
        <w:rPr>
          <w:rFonts w:ascii="Trebuchet MS" w:hAnsi="Trebuchet MS" w:cs="Arial"/>
          <w:sz w:val="20"/>
          <w:szCs w:val="20"/>
          <w:lang w:val="pt-PT"/>
        </w:rPr>
        <w:t xml:space="preserve"> </w:t>
      </w:r>
    </w:p>
    <w:p w14:paraId="592E565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 Condiţiile generale ale prezentului contract de finanţare se completează cu Condiţiile specifice adoptate prin decizia ordonatorului principal de credite al AM/conducătorul AM, care constituie anexa nr. 6 la prezentul contract de finanţare.</w:t>
      </w:r>
    </w:p>
    <w:p w14:paraId="61B446C9"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 Prin Condiţiile specifice, AM completează şi, după caz, detaliază modul de aplicare a Condiţiilor generale ale prezentului contract de finanţare.</w:t>
      </w:r>
    </w:p>
    <w:p w14:paraId="5C0C89C6"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 Condiţiile specifice ale contractului de finanţare prevalează faţă de Condiţiile generale, precum şi asupra celorlalte anexe, dar nu pot conţine prevederi contrare legislaţiei naţionale şi europene aplicabile.</w:t>
      </w:r>
    </w:p>
    <w:p w14:paraId="680E5B53"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(4) Pentru buna implementare şi management al proiectului, AM pune la dispoziţia Beneficiarului Manualul Beneficiarului, în condiţiile prevederilor art. 16 din O.U.G. nr. 23/2023.</w:t>
      </w:r>
    </w:p>
    <w:p w14:paraId="09D27CA9"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(5) Prezentul contract de finanţare se încheie într-un singur exemplar, este semnat electronic de toate părţile şi transmis prin sistemul MySMIS2021.</w:t>
      </w:r>
    </w:p>
    <w:p w14:paraId="6B051C62" w14:textId="77777777" w:rsidR="00BE2350" w:rsidRPr="00D3751E" w:rsidRDefault="00BE2350" w:rsidP="00BE2350">
      <w:pPr>
        <w:spacing w:after="200" w:line="276" w:lineRule="auto"/>
        <w:jc w:val="center"/>
        <w:rPr>
          <w:rFonts w:ascii="Trebuchet MS" w:eastAsiaTheme="minorHAnsi" w:hAnsi="Trebuchet MS" w:cstheme="minorBidi"/>
          <w:color w:val="FF0000"/>
          <w:sz w:val="20"/>
          <w:lang w:val="ro-RO"/>
        </w:rPr>
      </w:pPr>
    </w:p>
    <w:p w14:paraId="3E1ED642" w14:textId="77777777" w:rsidR="00BE2350" w:rsidRPr="00D3751E" w:rsidRDefault="00BE2350" w:rsidP="00BE2350">
      <w:pPr>
        <w:spacing w:after="200" w:line="276" w:lineRule="auto"/>
        <w:jc w:val="center"/>
        <w:rPr>
          <w:rFonts w:ascii="Trebuchet MS" w:eastAsiaTheme="minorHAnsi" w:hAnsi="Trebuchet MS" w:cstheme="minorBidi"/>
          <w:color w:val="FF0000"/>
          <w:sz w:val="20"/>
          <w:lang w:val="ro-RO"/>
        </w:rPr>
      </w:pPr>
    </w:p>
    <w:p w14:paraId="400E8927" w14:textId="77777777" w:rsidR="00BE2350" w:rsidRPr="00D3751E" w:rsidRDefault="00BE2350" w:rsidP="00BE2350">
      <w:pPr>
        <w:spacing w:after="200" w:line="276" w:lineRule="auto"/>
        <w:jc w:val="center"/>
        <w:rPr>
          <w:rFonts w:ascii="Trebuchet MS" w:eastAsiaTheme="minorHAnsi" w:hAnsi="Trebuchet MS" w:cstheme="minorBidi"/>
          <w:color w:val="FF0000"/>
          <w:sz w:val="20"/>
          <w:lang w:val="ro-RO"/>
        </w:rPr>
      </w:pPr>
    </w:p>
    <w:p w14:paraId="08B07B95" w14:textId="77777777" w:rsidR="00BE2350" w:rsidRPr="00D3751E" w:rsidRDefault="00BE2350" w:rsidP="00BE2350">
      <w:pPr>
        <w:spacing w:line="360" w:lineRule="auto"/>
        <w:jc w:val="both"/>
        <w:rPr>
          <w:rFonts w:ascii="Trebuchet MS" w:hAnsi="Trebuchet MS"/>
          <w:b/>
          <w:bCs/>
          <w:iCs/>
          <w:sz w:val="20"/>
          <w:lang w:val="ro-RO"/>
        </w:rPr>
      </w:pPr>
    </w:p>
    <w:p w14:paraId="7581B182" w14:textId="77777777" w:rsidR="00BE2350" w:rsidRPr="00D3751E" w:rsidRDefault="00BE2350" w:rsidP="00BE2350">
      <w:pPr>
        <w:spacing w:line="360" w:lineRule="auto"/>
        <w:jc w:val="both"/>
        <w:rPr>
          <w:rFonts w:ascii="Trebuchet MS" w:hAnsi="Trebuchet MS"/>
          <w:b/>
          <w:bCs/>
          <w:sz w:val="20"/>
          <w:lang w:val="ro-RO"/>
        </w:rPr>
      </w:pPr>
      <w:r w:rsidRPr="00D3751E">
        <w:rPr>
          <w:rFonts w:ascii="Trebuchet MS" w:hAnsi="Trebuchet MS"/>
          <w:b/>
          <w:bCs/>
          <w:sz w:val="20"/>
          <w:lang w:val="ro-RO"/>
        </w:rPr>
        <w:t>Pentru Autoritatea de Management,</w:t>
      </w:r>
      <w:r w:rsidRPr="00D3751E">
        <w:rPr>
          <w:rFonts w:ascii="Trebuchet MS" w:hAnsi="Trebuchet MS"/>
          <w:b/>
          <w:bCs/>
          <w:sz w:val="20"/>
          <w:lang w:val="ro-RO"/>
        </w:rPr>
        <w:tab/>
      </w:r>
      <w:r w:rsidRPr="00D3751E">
        <w:rPr>
          <w:rFonts w:ascii="Trebuchet MS" w:hAnsi="Trebuchet MS"/>
          <w:b/>
          <w:bCs/>
          <w:sz w:val="20"/>
          <w:lang w:val="ro-RO"/>
        </w:rPr>
        <w:tab/>
      </w:r>
      <w:r w:rsidRPr="00D3751E">
        <w:rPr>
          <w:rFonts w:ascii="Trebuchet MS" w:hAnsi="Trebuchet MS"/>
          <w:b/>
          <w:bCs/>
          <w:sz w:val="20"/>
          <w:lang w:val="ro-RO"/>
        </w:rPr>
        <w:tab/>
        <w:t xml:space="preserve">            Pentru Beneficiar,</w:t>
      </w:r>
    </w:p>
    <w:p w14:paraId="0B83B2C7" w14:textId="5612F717" w:rsidR="00BE2350" w:rsidRPr="00D3751E" w:rsidRDefault="00562F5C" w:rsidP="00BE2350">
      <w:pPr>
        <w:spacing w:line="360" w:lineRule="auto"/>
        <w:jc w:val="both"/>
        <w:rPr>
          <w:rFonts w:ascii="Trebuchet MS" w:hAnsi="Trebuchet MS"/>
          <w:b/>
          <w:bCs/>
          <w:sz w:val="20"/>
          <w:lang w:val="ro-RO"/>
        </w:rPr>
      </w:pPr>
      <w:r w:rsidRPr="00D3751E">
        <w:rPr>
          <w:rFonts w:ascii="Trebuchet MS" w:hAnsi="Trebuchet MS"/>
          <w:b/>
          <w:bCs/>
          <w:sz w:val="20"/>
          <w:lang w:val="ro-RO"/>
        </w:rPr>
        <w:t xml:space="preserve">Nume: </w:t>
      </w:r>
      <w:r w:rsidR="00443A2B">
        <w:rPr>
          <w:rFonts w:ascii="Trebuchet MS" w:hAnsi="Trebuchet MS"/>
          <w:b/>
          <w:bCs/>
          <w:sz w:val="20"/>
          <w:lang w:val="ro-RO"/>
        </w:rPr>
        <w:t xml:space="preserve">                                 </w:t>
      </w:r>
      <w:r w:rsidR="00BE2350" w:rsidRPr="00D3751E">
        <w:rPr>
          <w:rFonts w:ascii="Trebuchet MS" w:hAnsi="Trebuchet MS"/>
          <w:b/>
          <w:bCs/>
          <w:sz w:val="20"/>
          <w:lang w:val="ro-RO"/>
        </w:rPr>
        <w:t xml:space="preserve">                            </w:t>
      </w:r>
      <w:r w:rsidRPr="00D3751E">
        <w:rPr>
          <w:rFonts w:ascii="Trebuchet MS" w:hAnsi="Trebuchet MS"/>
          <w:b/>
          <w:bCs/>
          <w:sz w:val="20"/>
          <w:lang w:val="ro-RO"/>
        </w:rPr>
        <w:tab/>
      </w:r>
      <w:r w:rsidR="00AA1BC9" w:rsidRPr="00D3751E">
        <w:rPr>
          <w:rFonts w:ascii="Trebuchet MS" w:hAnsi="Trebuchet MS"/>
          <w:b/>
          <w:bCs/>
          <w:sz w:val="20"/>
          <w:lang w:val="ro-RO"/>
        </w:rPr>
        <w:tab/>
      </w:r>
      <w:r w:rsidRPr="00D3751E">
        <w:rPr>
          <w:rFonts w:ascii="Trebuchet MS" w:hAnsi="Trebuchet MS"/>
          <w:b/>
          <w:bCs/>
          <w:sz w:val="20"/>
          <w:lang w:val="ro-RO"/>
        </w:rPr>
        <w:t>Nume:</w:t>
      </w:r>
      <w:r w:rsidRPr="00D3751E">
        <w:rPr>
          <w:rFonts w:ascii="Trebuchet MS" w:hAnsi="Trebuchet MS"/>
          <w:sz w:val="20"/>
          <w:lang w:val="it-IT"/>
        </w:rPr>
        <w:t xml:space="preserve"> </w:t>
      </w:r>
    </w:p>
    <w:p w14:paraId="7F030CD9" w14:textId="65CB2A2E" w:rsidR="00562F5C" w:rsidRPr="00D3751E" w:rsidRDefault="00562F5C" w:rsidP="00BE2350">
      <w:pPr>
        <w:spacing w:line="360" w:lineRule="auto"/>
        <w:jc w:val="both"/>
        <w:rPr>
          <w:rFonts w:ascii="Trebuchet MS" w:hAnsi="Trebuchet MS"/>
          <w:b/>
          <w:bCs/>
          <w:sz w:val="20"/>
          <w:lang w:val="ro-RO"/>
        </w:rPr>
      </w:pPr>
      <w:r w:rsidRPr="00D3751E">
        <w:rPr>
          <w:rFonts w:ascii="Trebuchet MS" w:hAnsi="Trebuchet MS"/>
          <w:b/>
          <w:bCs/>
          <w:sz w:val="20"/>
          <w:lang w:val="ro-RO"/>
        </w:rPr>
        <w:t>Funcţie:</w:t>
      </w:r>
      <w:r w:rsidR="00443A2B">
        <w:rPr>
          <w:rFonts w:ascii="Trebuchet MS" w:hAnsi="Trebuchet MS"/>
          <w:b/>
          <w:bCs/>
          <w:sz w:val="20"/>
          <w:lang w:val="ro-RO"/>
        </w:rPr>
        <w:t xml:space="preserve">                                                          </w:t>
      </w:r>
      <w:r w:rsidR="00AA1BC9" w:rsidRPr="00D3751E">
        <w:rPr>
          <w:rFonts w:ascii="Trebuchet MS" w:hAnsi="Trebuchet MS"/>
          <w:b/>
          <w:bCs/>
          <w:sz w:val="20"/>
          <w:lang w:val="ro-RO"/>
        </w:rPr>
        <w:tab/>
      </w:r>
      <w:r w:rsidR="00AA1BC9" w:rsidRPr="00D3751E">
        <w:rPr>
          <w:rFonts w:ascii="Trebuchet MS" w:hAnsi="Trebuchet MS"/>
          <w:b/>
          <w:bCs/>
          <w:sz w:val="20"/>
          <w:lang w:val="ro-RO"/>
        </w:rPr>
        <w:tab/>
      </w:r>
      <w:r w:rsidR="00443A2B">
        <w:rPr>
          <w:rFonts w:ascii="Trebuchet MS" w:hAnsi="Trebuchet MS"/>
          <w:b/>
          <w:bCs/>
          <w:sz w:val="20"/>
          <w:lang w:val="ro-RO"/>
        </w:rPr>
        <w:t xml:space="preserve">             </w:t>
      </w:r>
      <w:r w:rsidRPr="00D3751E">
        <w:rPr>
          <w:rFonts w:ascii="Trebuchet MS" w:hAnsi="Trebuchet MS"/>
          <w:b/>
          <w:bCs/>
          <w:sz w:val="20"/>
          <w:lang w:val="ro-RO"/>
        </w:rPr>
        <w:t>Funcţie:</w:t>
      </w:r>
      <w:r w:rsidR="00BE2350" w:rsidRPr="00D3751E">
        <w:rPr>
          <w:rFonts w:ascii="Trebuchet MS" w:hAnsi="Trebuchet MS"/>
          <w:b/>
          <w:bCs/>
          <w:sz w:val="20"/>
          <w:lang w:val="ro-RO"/>
        </w:rPr>
        <w:t xml:space="preserve">   </w:t>
      </w:r>
    </w:p>
    <w:p w14:paraId="566E3B28" w14:textId="3EFDB51D" w:rsidR="00BE2350" w:rsidRPr="00D3751E" w:rsidRDefault="00562F5C" w:rsidP="00BE2350">
      <w:pPr>
        <w:spacing w:line="360" w:lineRule="auto"/>
        <w:jc w:val="both"/>
        <w:rPr>
          <w:rFonts w:ascii="Trebuchet MS" w:hAnsi="Trebuchet MS"/>
          <w:b/>
          <w:bCs/>
          <w:sz w:val="20"/>
          <w:lang w:val="ro-RO"/>
        </w:rPr>
      </w:pPr>
      <w:r w:rsidRPr="00D3751E">
        <w:rPr>
          <w:rFonts w:ascii="Trebuchet MS" w:hAnsi="Trebuchet MS"/>
          <w:b/>
          <w:bCs/>
          <w:sz w:val="20"/>
          <w:lang w:val="ro-RO"/>
        </w:rPr>
        <w:tab/>
      </w:r>
      <w:r w:rsidRPr="00D3751E">
        <w:rPr>
          <w:rFonts w:ascii="Trebuchet MS" w:hAnsi="Trebuchet MS"/>
          <w:b/>
          <w:bCs/>
          <w:sz w:val="20"/>
          <w:lang w:val="ro-RO"/>
        </w:rPr>
        <w:tab/>
      </w:r>
      <w:r w:rsidRPr="00D3751E">
        <w:rPr>
          <w:rFonts w:ascii="Trebuchet MS" w:hAnsi="Trebuchet MS"/>
          <w:b/>
          <w:bCs/>
          <w:sz w:val="20"/>
          <w:lang w:val="ro-RO"/>
        </w:rPr>
        <w:tab/>
      </w:r>
      <w:r w:rsidRPr="00D3751E">
        <w:rPr>
          <w:rFonts w:ascii="Trebuchet MS" w:hAnsi="Trebuchet MS"/>
          <w:b/>
          <w:bCs/>
          <w:sz w:val="20"/>
          <w:lang w:val="ro-RO"/>
        </w:rPr>
        <w:tab/>
      </w:r>
      <w:r w:rsidRPr="00D3751E">
        <w:rPr>
          <w:rFonts w:ascii="Trebuchet MS" w:hAnsi="Trebuchet MS"/>
          <w:b/>
          <w:bCs/>
          <w:sz w:val="20"/>
          <w:lang w:val="ro-RO"/>
        </w:rPr>
        <w:tab/>
      </w:r>
      <w:r w:rsidRPr="00D3751E">
        <w:rPr>
          <w:rFonts w:ascii="Trebuchet MS" w:hAnsi="Trebuchet MS"/>
          <w:b/>
          <w:bCs/>
          <w:sz w:val="20"/>
          <w:lang w:val="ro-RO"/>
        </w:rPr>
        <w:tab/>
      </w:r>
      <w:r w:rsidRPr="00D3751E">
        <w:rPr>
          <w:rFonts w:ascii="Trebuchet MS" w:hAnsi="Trebuchet MS"/>
          <w:b/>
          <w:bCs/>
          <w:sz w:val="20"/>
          <w:lang w:val="ro-RO"/>
        </w:rPr>
        <w:tab/>
      </w:r>
      <w:r w:rsidRPr="00D3751E">
        <w:rPr>
          <w:rFonts w:ascii="Trebuchet MS" w:hAnsi="Trebuchet MS"/>
          <w:b/>
          <w:bCs/>
          <w:sz w:val="20"/>
          <w:lang w:val="ro-RO"/>
        </w:rPr>
        <w:tab/>
      </w:r>
      <w:r w:rsidR="00BE2350" w:rsidRPr="00D3751E">
        <w:rPr>
          <w:rFonts w:ascii="Trebuchet MS" w:hAnsi="Trebuchet MS"/>
          <w:b/>
          <w:bCs/>
          <w:sz w:val="20"/>
          <w:lang w:val="ro-RO"/>
        </w:rPr>
        <w:t xml:space="preserve"> </w:t>
      </w:r>
    </w:p>
    <w:p w14:paraId="02665EEF" w14:textId="1F1AC9F2" w:rsidR="00BE2350" w:rsidRPr="00D3751E" w:rsidRDefault="00BE2350" w:rsidP="00BE2350">
      <w:pPr>
        <w:spacing w:line="360" w:lineRule="auto"/>
        <w:jc w:val="both"/>
        <w:rPr>
          <w:rFonts w:ascii="Trebuchet MS" w:hAnsi="Trebuchet MS"/>
          <w:b/>
          <w:bCs/>
          <w:sz w:val="20"/>
          <w:lang w:val="ro-RO"/>
        </w:rPr>
      </w:pPr>
      <w:r w:rsidRPr="00D3751E">
        <w:rPr>
          <w:rFonts w:ascii="Trebuchet MS" w:hAnsi="Trebuchet MS"/>
          <w:b/>
          <w:bCs/>
          <w:sz w:val="20"/>
          <w:lang w:val="ro-RO"/>
        </w:rPr>
        <w:t xml:space="preserve">Semnatura:                          </w:t>
      </w:r>
      <w:r w:rsidRPr="00D3751E">
        <w:rPr>
          <w:rFonts w:ascii="Trebuchet MS" w:hAnsi="Trebuchet MS"/>
          <w:b/>
          <w:bCs/>
          <w:sz w:val="20"/>
          <w:lang w:val="ro-RO"/>
        </w:rPr>
        <w:tab/>
      </w:r>
      <w:r w:rsidRPr="00D3751E">
        <w:rPr>
          <w:rFonts w:ascii="Trebuchet MS" w:hAnsi="Trebuchet MS"/>
          <w:b/>
          <w:bCs/>
          <w:sz w:val="20"/>
          <w:lang w:val="ro-RO"/>
        </w:rPr>
        <w:tab/>
      </w:r>
      <w:r w:rsidRPr="00D3751E">
        <w:rPr>
          <w:rFonts w:ascii="Trebuchet MS" w:hAnsi="Trebuchet MS"/>
          <w:b/>
          <w:bCs/>
          <w:sz w:val="20"/>
          <w:lang w:val="ro-RO"/>
        </w:rPr>
        <w:tab/>
      </w:r>
      <w:r w:rsidRPr="00D3751E">
        <w:rPr>
          <w:rFonts w:ascii="Trebuchet MS" w:hAnsi="Trebuchet MS"/>
          <w:b/>
          <w:bCs/>
          <w:sz w:val="20"/>
          <w:lang w:val="ro-RO"/>
        </w:rPr>
        <w:tab/>
      </w:r>
      <w:r w:rsidR="00AA1BC9" w:rsidRPr="00D3751E">
        <w:rPr>
          <w:rFonts w:ascii="Trebuchet MS" w:hAnsi="Trebuchet MS"/>
          <w:b/>
          <w:bCs/>
          <w:sz w:val="20"/>
          <w:lang w:val="ro-RO"/>
        </w:rPr>
        <w:tab/>
      </w:r>
      <w:r w:rsidRPr="00D3751E">
        <w:rPr>
          <w:rFonts w:ascii="Trebuchet MS" w:hAnsi="Trebuchet MS"/>
          <w:b/>
          <w:bCs/>
          <w:sz w:val="20"/>
          <w:lang w:val="ro-RO"/>
        </w:rPr>
        <w:t>Semnatura:</w:t>
      </w:r>
    </w:p>
    <w:p w14:paraId="08CC4130" w14:textId="77777777" w:rsidR="00562F5C" w:rsidRPr="00D3751E" w:rsidRDefault="00562F5C" w:rsidP="00BE2350">
      <w:pPr>
        <w:spacing w:line="360" w:lineRule="auto"/>
        <w:jc w:val="both"/>
        <w:rPr>
          <w:rFonts w:ascii="Trebuchet MS" w:hAnsi="Trebuchet MS"/>
          <w:b/>
          <w:bCs/>
          <w:sz w:val="20"/>
          <w:lang w:val="ro-RO"/>
        </w:rPr>
      </w:pPr>
    </w:p>
    <w:p w14:paraId="4821719F" w14:textId="178583AA" w:rsidR="00BE2350" w:rsidRPr="00D3751E" w:rsidRDefault="00BE2350" w:rsidP="00BE2350">
      <w:pPr>
        <w:spacing w:line="360" w:lineRule="auto"/>
        <w:jc w:val="both"/>
        <w:rPr>
          <w:rFonts w:ascii="Trebuchet MS" w:hAnsi="Trebuchet MS"/>
          <w:b/>
          <w:bCs/>
          <w:sz w:val="20"/>
          <w:lang w:val="ro-RO"/>
        </w:rPr>
      </w:pPr>
      <w:r w:rsidRPr="00D3751E">
        <w:rPr>
          <w:rFonts w:ascii="Trebuchet MS" w:hAnsi="Trebuchet MS"/>
          <w:b/>
          <w:bCs/>
          <w:sz w:val="20"/>
          <w:lang w:val="ro-RO"/>
        </w:rPr>
        <w:t>Data:</w:t>
      </w:r>
      <w:r w:rsidRPr="00D3751E">
        <w:rPr>
          <w:rFonts w:ascii="Trebuchet MS" w:hAnsi="Trebuchet MS"/>
          <w:b/>
          <w:bCs/>
          <w:sz w:val="20"/>
          <w:lang w:val="ro-RO"/>
        </w:rPr>
        <w:tab/>
      </w:r>
      <w:r w:rsidRPr="00D3751E">
        <w:rPr>
          <w:rFonts w:ascii="Trebuchet MS" w:hAnsi="Trebuchet MS"/>
          <w:b/>
          <w:bCs/>
          <w:sz w:val="20"/>
          <w:lang w:val="ro-RO"/>
        </w:rPr>
        <w:tab/>
      </w:r>
      <w:r w:rsidRPr="00D3751E">
        <w:rPr>
          <w:rFonts w:ascii="Trebuchet MS" w:hAnsi="Trebuchet MS"/>
          <w:b/>
          <w:bCs/>
          <w:sz w:val="20"/>
          <w:lang w:val="ro-RO"/>
        </w:rPr>
        <w:tab/>
      </w:r>
      <w:r w:rsidRPr="00D3751E">
        <w:rPr>
          <w:rFonts w:ascii="Trebuchet MS" w:hAnsi="Trebuchet MS"/>
          <w:b/>
          <w:bCs/>
          <w:sz w:val="20"/>
          <w:lang w:val="ro-RO"/>
        </w:rPr>
        <w:tab/>
      </w:r>
      <w:r w:rsidRPr="00D3751E">
        <w:rPr>
          <w:rFonts w:ascii="Trebuchet MS" w:hAnsi="Trebuchet MS"/>
          <w:b/>
          <w:bCs/>
          <w:sz w:val="20"/>
          <w:lang w:val="ro-RO"/>
        </w:rPr>
        <w:tab/>
      </w:r>
      <w:r w:rsidRPr="00D3751E">
        <w:rPr>
          <w:rFonts w:ascii="Trebuchet MS" w:hAnsi="Trebuchet MS"/>
          <w:b/>
          <w:bCs/>
          <w:sz w:val="20"/>
          <w:lang w:val="ro-RO"/>
        </w:rPr>
        <w:tab/>
      </w:r>
      <w:r w:rsidRPr="00D3751E">
        <w:rPr>
          <w:rFonts w:ascii="Trebuchet MS" w:hAnsi="Trebuchet MS"/>
          <w:b/>
          <w:bCs/>
          <w:sz w:val="20"/>
          <w:lang w:val="ro-RO"/>
        </w:rPr>
        <w:tab/>
      </w:r>
      <w:r w:rsidRPr="00D3751E">
        <w:rPr>
          <w:rFonts w:ascii="Trebuchet MS" w:hAnsi="Trebuchet MS"/>
          <w:b/>
          <w:bCs/>
          <w:sz w:val="20"/>
          <w:lang w:val="ro-RO"/>
        </w:rPr>
        <w:tab/>
        <w:t>Data:</w:t>
      </w:r>
    </w:p>
    <w:p w14:paraId="6F0BB5AA" w14:textId="77777777" w:rsidR="00BE2350" w:rsidRPr="00D3751E" w:rsidRDefault="00BE2350" w:rsidP="004837ED">
      <w:pPr>
        <w:jc w:val="center"/>
        <w:rPr>
          <w:rFonts w:ascii="Trebuchet MS" w:eastAsia="Trebuchet MS" w:hAnsi="Trebuchet MS" w:cs="Trebuchet MS"/>
          <w:b/>
          <w:sz w:val="20"/>
          <w:lang w:val="ro-RO"/>
        </w:rPr>
      </w:pPr>
    </w:p>
    <w:sectPr w:rsidR="00BE2350" w:rsidRPr="00D3751E" w:rsidSect="001B0A12">
      <w:headerReference w:type="default" r:id="rId10"/>
      <w:footerReference w:type="even" r:id="rId11"/>
      <w:footerReference w:type="default" r:id="rId12"/>
      <w:pgSz w:w="12240" w:h="15840"/>
      <w:pgMar w:top="284" w:right="1134" w:bottom="397" w:left="1134" w:header="720" w:footer="5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0A8697" w14:textId="77777777" w:rsidR="00455395" w:rsidRDefault="00455395">
      <w:r>
        <w:separator/>
      </w:r>
    </w:p>
  </w:endnote>
  <w:endnote w:type="continuationSeparator" w:id="0">
    <w:p w14:paraId="1AAAB48C" w14:textId="77777777" w:rsidR="00455395" w:rsidRDefault="004553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78603446"/>
      <w:docPartObj>
        <w:docPartGallery w:val="Page Numbers (Bottom of Page)"/>
        <w:docPartUnique/>
      </w:docPartObj>
    </w:sdtPr>
    <w:sdtEndPr>
      <w:rPr>
        <w:rFonts w:ascii="Times New Roman" w:hAnsi="Times New Roman"/>
        <w:noProof/>
      </w:rPr>
    </w:sdtEndPr>
    <w:sdtContent>
      <w:p w14:paraId="04C0E3E2" w14:textId="77777777" w:rsidR="00D3751E" w:rsidRDefault="00D3751E" w:rsidP="00C30D81">
        <w:pPr>
          <w:pStyle w:val="Footer"/>
          <w:jc w:val="right"/>
        </w:pPr>
      </w:p>
      <w:p w14:paraId="76F2F5FE" w14:textId="77777777" w:rsidR="00D3751E" w:rsidRPr="0096729F" w:rsidRDefault="00D3751E" w:rsidP="0096729F">
        <w:pPr>
          <w:pStyle w:val="Footer"/>
          <w:jc w:val="right"/>
          <w:rPr>
            <w:rFonts w:asciiTheme="minorHAnsi" w:hAnsiTheme="minorHAnsi" w:cstheme="minorHAnsi"/>
            <w:noProof/>
            <w:sz w:val="20"/>
          </w:rPr>
        </w:pPr>
        <w:r>
          <w:rPr>
            <w:noProof/>
          </w:rPr>
          <w:drawing>
            <wp:anchor distT="0" distB="0" distL="114300" distR="114300" simplePos="0" relativeHeight="251661312" behindDoc="0" locked="0" layoutInCell="1" allowOverlap="1" wp14:anchorId="326E0BCC" wp14:editId="42C765A1">
              <wp:simplePos x="0" y="0"/>
              <wp:positionH relativeFrom="page">
                <wp:posOffset>53340</wp:posOffset>
              </wp:positionH>
              <wp:positionV relativeFrom="paragraph">
                <wp:posOffset>254000</wp:posOffset>
              </wp:positionV>
              <wp:extent cx="7468235" cy="474980"/>
              <wp:effectExtent l="0" t="0" r="0" b="1270"/>
              <wp:wrapSquare wrapText="bothSides"/>
              <wp:docPr id="1510016840" name="Picture 1510016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68235" cy="474980"/>
                      </a:xfrm>
                      <a:prstGeom prst="rect">
                        <a:avLst/>
                      </a:prstGeom>
                      <a:noFill/>
                    </pic:spPr>
                  </pic:pic>
                </a:graphicData>
              </a:graphic>
              <wp14:sizeRelH relativeFrom="margin">
                <wp14:pctWidth>0</wp14:pctWidth>
              </wp14:sizeRelH>
            </wp:anchor>
          </w:drawing>
        </w:r>
        <w:r w:rsidRPr="00C30D81">
          <w:rPr>
            <w:rFonts w:asciiTheme="minorHAnsi" w:hAnsiTheme="minorHAnsi" w:cstheme="minorHAnsi"/>
            <w:sz w:val="20"/>
          </w:rPr>
          <w:fldChar w:fldCharType="begin"/>
        </w:r>
        <w:r w:rsidRPr="00C30D81">
          <w:rPr>
            <w:rFonts w:asciiTheme="minorHAnsi" w:hAnsiTheme="minorHAnsi" w:cstheme="minorHAnsi"/>
            <w:sz w:val="20"/>
          </w:rPr>
          <w:instrText xml:space="preserve"> PAGE   \* MERGEFORMAT </w:instrText>
        </w:r>
        <w:r w:rsidRPr="00C30D81">
          <w:rPr>
            <w:rFonts w:asciiTheme="minorHAnsi" w:hAnsiTheme="minorHAnsi" w:cstheme="minorHAnsi"/>
            <w:sz w:val="20"/>
          </w:rPr>
          <w:fldChar w:fldCharType="separate"/>
        </w:r>
        <w:r>
          <w:rPr>
            <w:rFonts w:asciiTheme="minorHAnsi" w:hAnsiTheme="minorHAnsi" w:cstheme="minorHAnsi"/>
            <w:noProof/>
            <w:sz w:val="20"/>
          </w:rPr>
          <w:t>5</w:t>
        </w:r>
        <w:r w:rsidRPr="00C30D81">
          <w:rPr>
            <w:rFonts w:asciiTheme="minorHAnsi" w:hAnsiTheme="minorHAnsi" w:cstheme="minorHAnsi"/>
            <w:noProof/>
            <w:sz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BDD625" w14:textId="77777777" w:rsidR="00611DEB" w:rsidRDefault="00397E5F" w:rsidP="000801B6">
    <w:pPr>
      <w:pStyle w:val="Footer"/>
      <w:framePr w:wrap="around" w:vAnchor="text" w:hAnchor="margin" w:xAlign="right" w:y="1"/>
      <w:rPr>
        <w:rStyle w:val="PageNumber"/>
      </w:rPr>
    </w:pPr>
    <w:r>
      <w:rPr>
        <w:rStyle w:val="PageNumber"/>
      </w:rPr>
      <w:fldChar w:fldCharType="begin"/>
    </w:r>
    <w:r w:rsidR="00611DEB">
      <w:rPr>
        <w:rStyle w:val="PageNumber"/>
      </w:rPr>
      <w:instrText xml:space="preserve">PAGE  </w:instrText>
    </w:r>
    <w:r>
      <w:rPr>
        <w:rStyle w:val="PageNumber"/>
      </w:rPr>
      <w:fldChar w:fldCharType="end"/>
    </w:r>
  </w:p>
  <w:p w14:paraId="7DCD27EC" w14:textId="77777777" w:rsidR="00611DEB" w:rsidRDefault="00611DEB" w:rsidP="00611DEB">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E8729A" w14:textId="13C4C7F8" w:rsidR="00DB5250" w:rsidRPr="00900B8D" w:rsidRDefault="004B44E6" w:rsidP="00DB5250">
    <w:pPr>
      <w:pStyle w:val="Footer"/>
      <w:jc w:val="center"/>
      <w:rPr>
        <w:lang w:val="ro-RO"/>
      </w:rPr>
    </w:pPr>
    <w:r>
      <w:rPr>
        <w:noProof/>
      </w:rPr>
      <w:drawing>
        <wp:inline distT="0" distB="0" distL="0" distR="0" wp14:anchorId="1F529BAC" wp14:editId="7F382B7D">
          <wp:extent cx="6332220" cy="447675"/>
          <wp:effectExtent l="0" t="0" r="0" b="9525"/>
          <wp:docPr id="182775705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32220" cy="447675"/>
                  </a:xfrm>
                  <a:prstGeom prst="rect">
                    <a:avLst/>
                  </a:prstGeom>
                  <a:noFill/>
                  <a:ln>
                    <a:noFill/>
                  </a:ln>
                </pic:spPr>
              </pic:pic>
            </a:graphicData>
          </a:graphic>
        </wp:inline>
      </w:drawing>
    </w:r>
  </w:p>
  <w:p w14:paraId="018157A3" w14:textId="77777777" w:rsidR="00DB5250" w:rsidRDefault="00DB5250" w:rsidP="00DB5250">
    <w:pPr>
      <w:pStyle w:val="Footer"/>
      <w:ind w:right="360"/>
      <w:jc w:val="center"/>
    </w:pPr>
  </w:p>
  <w:p w14:paraId="5A0BCBF3" w14:textId="77777777" w:rsidR="00611DEB" w:rsidRDefault="00611DEB" w:rsidP="00DB5250">
    <w:pPr>
      <w:pStyle w:val="Footer"/>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0AD9AF" w14:textId="77777777" w:rsidR="00455395" w:rsidRDefault="00455395">
      <w:r>
        <w:separator/>
      </w:r>
    </w:p>
  </w:footnote>
  <w:footnote w:type="continuationSeparator" w:id="0">
    <w:p w14:paraId="76222FF7" w14:textId="77777777" w:rsidR="00455395" w:rsidRDefault="004553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773" w:type="dxa"/>
      <w:tblInd w:w="8" w:type="dxa"/>
      <w:tblCellMar>
        <w:left w:w="0" w:type="dxa"/>
        <w:right w:w="0" w:type="dxa"/>
      </w:tblCellMar>
      <w:tblLook w:val="0000" w:firstRow="0" w:lastRow="0" w:firstColumn="0" w:lastColumn="0" w:noHBand="0" w:noVBand="0"/>
    </w:tblPr>
    <w:tblGrid>
      <w:gridCol w:w="9498"/>
      <w:gridCol w:w="1275"/>
    </w:tblGrid>
    <w:tr w:rsidR="00D3751E" w:rsidRPr="0096729F" w14:paraId="4DE63350" w14:textId="77777777" w:rsidTr="006265FB">
      <w:tc>
        <w:tcPr>
          <w:tcW w:w="9498" w:type="dxa"/>
        </w:tcPr>
        <w:p w14:paraId="33A4CFBE" w14:textId="77777777" w:rsidR="00D3751E" w:rsidRPr="0096729F" w:rsidRDefault="00D3751E" w:rsidP="0096729F">
          <w:pPr>
            <w:tabs>
              <w:tab w:val="center" w:pos="4320"/>
              <w:tab w:val="right" w:pos="8640"/>
            </w:tabs>
            <w:spacing w:after="120" w:line="276" w:lineRule="auto"/>
            <w:jc w:val="both"/>
            <w:rPr>
              <w:rFonts w:ascii="Cambria" w:eastAsia="MS Mincho" w:hAnsi="Cambria"/>
            </w:rPr>
          </w:pPr>
          <w:bookmarkStart w:id="0" w:name="_Hlk144394481"/>
          <w:r w:rsidRPr="0096729F">
            <w:rPr>
              <w:rFonts w:ascii="Cambria" w:eastAsia="MS Mincho" w:hAnsi="Cambria"/>
              <w:noProof/>
            </w:rPr>
            <w:drawing>
              <wp:inline distT="0" distB="0" distL="0" distR="0" wp14:anchorId="1E30F858" wp14:editId="57B413F2">
                <wp:extent cx="5974080" cy="533400"/>
                <wp:effectExtent l="0" t="0" r="7620" b="0"/>
                <wp:docPr id="2123028175"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74080" cy="533400"/>
                        </a:xfrm>
                        <a:prstGeom prst="rect">
                          <a:avLst/>
                        </a:prstGeom>
                        <a:noFill/>
                        <a:ln>
                          <a:noFill/>
                        </a:ln>
                      </pic:spPr>
                    </pic:pic>
                  </a:graphicData>
                </a:graphic>
              </wp:inline>
            </w:drawing>
          </w:r>
        </w:p>
        <w:p w14:paraId="54C2827D" w14:textId="77777777" w:rsidR="00D3751E" w:rsidRPr="0096729F" w:rsidRDefault="00D3751E" w:rsidP="0096729F">
          <w:pPr>
            <w:rPr>
              <w:rFonts w:ascii="Times New Roman" w:eastAsia="MS Mincho" w:hAnsi="Times New Roman"/>
              <w:sz w:val="18"/>
              <w:szCs w:val="18"/>
            </w:rPr>
          </w:pPr>
        </w:p>
      </w:tc>
      <w:tc>
        <w:tcPr>
          <w:tcW w:w="1275" w:type="dxa"/>
          <w:vAlign w:val="center"/>
        </w:tcPr>
        <w:p w14:paraId="4514E6C7" w14:textId="77777777" w:rsidR="00D3751E" w:rsidRPr="0096729F" w:rsidRDefault="00D3751E" w:rsidP="0096729F">
          <w:pPr>
            <w:jc w:val="right"/>
            <w:rPr>
              <w:rFonts w:ascii="Times New Roman" w:eastAsia="MS Mincho" w:hAnsi="Times New Roman"/>
              <w:sz w:val="18"/>
              <w:szCs w:val="18"/>
            </w:rPr>
          </w:pPr>
        </w:p>
      </w:tc>
    </w:tr>
    <w:bookmarkEnd w:id="0"/>
  </w:tbl>
  <w:p w14:paraId="134B67CC" w14:textId="77777777" w:rsidR="00D3751E" w:rsidRDefault="00D3751E" w:rsidP="0096729F">
    <w:pPr>
      <w:pStyle w:val="Header"/>
    </w:pPr>
  </w:p>
  <w:p w14:paraId="4ED9A785" w14:textId="77777777" w:rsidR="00D3751E" w:rsidRDefault="00D3751E" w:rsidP="00C30D81">
    <w:pPr>
      <w:pStyle w:val="Header"/>
      <w:tabs>
        <w:tab w:val="left" w:pos="949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3426D6" w14:textId="441C9924" w:rsidR="006E771A" w:rsidRDefault="00D3751E">
    <w:pPr>
      <w:pStyle w:val="Header"/>
    </w:pPr>
    <w:r w:rsidRPr="0096729F">
      <w:rPr>
        <w:rFonts w:ascii="Cambria" w:eastAsia="MS Mincho" w:hAnsi="Cambria"/>
        <w:noProof/>
        <w:lang w:val="en-US"/>
      </w:rPr>
      <w:drawing>
        <wp:inline distT="0" distB="0" distL="0" distR="0" wp14:anchorId="182BDB7D" wp14:editId="659002FB">
          <wp:extent cx="5974080" cy="533400"/>
          <wp:effectExtent l="0" t="0" r="7620" b="0"/>
          <wp:docPr id="159135163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74080" cy="533400"/>
                  </a:xfrm>
                  <a:prstGeom prst="rect">
                    <a:avLst/>
                  </a:prstGeom>
                  <a:noFill/>
                  <a:ln>
                    <a:noFill/>
                  </a:ln>
                </pic:spPr>
              </pic:pic>
            </a:graphicData>
          </a:graphic>
        </wp:inline>
      </w:drawing>
    </w:r>
  </w:p>
  <w:p w14:paraId="3CE7AA89" w14:textId="77777777" w:rsidR="00D3751E" w:rsidRDefault="00D3751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5F1983"/>
    <w:multiLevelType w:val="multilevel"/>
    <w:tmpl w:val="73D2D872"/>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C4944BC"/>
    <w:multiLevelType w:val="hybridMultilevel"/>
    <w:tmpl w:val="F026A6B2"/>
    <w:lvl w:ilvl="0" w:tplc="102A978A">
      <w:start w:val="1"/>
      <w:numFmt w:val="decimal"/>
      <w:lvlText w:val="(%1)"/>
      <w:lvlJc w:val="left"/>
      <w:pPr>
        <w:ind w:left="360" w:hanging="360"/>
      </w:pPr>
      <w:rPr>
        <w:rFonts w:hint="default"/>
        <w:b/>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E67035E"/>
    <w:multiLevelType w:val="hybridMultilevel"/>
    <w:tmpl w:val="D15A0F52"/>
    <w:lvl w:ilvl="0" w:tplc="AD96BF56">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1907E2A"/>
    <w:multiLevelType w:val="hybridMultilevel"/>
    <w:tmpl w:val="1FECFBF0"/>
    <w:lvl w:ilvl="0" w:tplc="2AB862F0">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DCB32B0"/>
    <w:multiLevelType w:val="hybridMultilevel"/>
    <w:tmpl w:val="698EC9D8"/>
    <w:lvl w:ilvl="0" w:tplc="F62A601A">
      <w:numFmt w:val="bullet"/>
      <w:lvlText w:val="-"/>
      <w:lvlJc w:val="left"/>
      <w:pPr>
        <w:ind w:left="720" w:hanging="360"/>
      </w:pPr>
      <w:rPr>
        <w:rFonts w:ascii="Trebuchet MS" w:eastAsia="Times New Roman" w:hAnsi="Trebuchet MS" w:cs="Times New Roman"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0982126"/>
    <w:multiLevelType w:val="hybridMultilevel"/>
    <w:tmpl w:val="00B457AE"/>
    <w:lvl w:ilvl="0" w:tplc="5562EDCA">
      <w:numFmt w:val="bullet"/>
      <w:lvlText w:val="-"/>
      <w:lvlJc w:val="left"/>
      <w:pPr>
        <w:ind w:left="720" w:hanging="360"/>
      </w:pPr>
      <w:rPr>
        <w:rFonts w:ascii="Trebuchet MS" w:eastAsia="Times New Roman" w:hAnsi="Trebuchet MS" w:cs="Arial"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9BB2060"/>
    <w:multiLevelType w:val="hybridMultilevel"/>
    <w:tmpl w:val="1278F3EC"/>
    <w:lvl w:ilvl="0" w:tplc="E3FCF260">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C986C4E"/>
    <w:multiLevelType w:val="hybridMultilevel"/>
    <w:tmpl w:val="04E66920"/>
    <w:lvl w:ilvl="0" w:tplc="202EFE22">
      <w:start w:val="218"/>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08B52FB"/>
    <w:multiLevelType w:val="hybridMultilevel"/>
    <w:tmpl w:val="F4C852A4"/>
    <w:lvl w:ilvl="0" w:tplc="3BB0274C">
      <w:start w:val="218"/>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45F33F5"/>
    <w:multiLevelType w:val="hybridMultilevel"/>
    <w:tmpl w:val="E9A601F0"/>
    <w:lvl w:ilvl="0" w:tplc="04180001">
      <w:start w:val="1"/>
      <w:numFmt w:val="bullet"/>
      <w:lvlText w:val=""/>
      <w:lvlJc w:val="left"/>
      <w:pPr>
        <w:ind w:left="1260" w:hanging="360"/>
      </w:pPr>
      <w:rPr>
        <w:rFonts w:ascii="Symbol" w:hAnsi="Symbol" w:hint="default"/>
      </w:rPr>
    </w:lvl>
    <w:lvl w:ilvl="1" w:tplc="04180003" w:tentative="1">
      <w:start w:val="1"/>
      <w:numFmt w:val="bullet"/>
      <w:lvlText w:val="o"/>
      <w:lvlJc w:val="left"/>
      <w:pPr>
        <w:ind w:left="1980" w:hanging="360"/>
      </w:pPr>
      <w:rPr>
        <w:rFonts w:ascii="Courier New" w:hAnsi="Courier New" w:cs="Courier New" w:hint="default"/>
      </w:rPr>
    </w:lvl>
    <w:lvl w:ilvl="2" w:tplc="04180005" w:tentative="1">
      <w:start w:val="1"/>
      <w:numFmt w:val="bullet"/>
      <w:lvlText w:val=""/>
      <w:lvlJc w:val="left"/>
      <w:pPr>
        <w:ind w:left="2700" w:hanging="360"/>
      </w:pPr>
      <w:rPr>
        <w:rFonts w:ascii="Wingdings" w:hAnsi="Wingdings" w:hint="default"/>
      </w:rPr>
    </w:lvl>
    <w:lvl w:ilvl="3" w:tplc="04180001" w:tentative="1">
      <w:start w:val="1"/>
      <w:numFmt w:val="bullet"/>
      <w:lvlText w:val=""/>
      <w:lvlJc w:val="left"/>
      <w:pPr>
        <w:ind w:left="3420" w:hanging="360"/>
      </w:pPr>
      <w:rPr>
        <w:rFonts w:ascii="Symbol" w:hAnsi="Symbol" w:hint="default"/>
      </w:rPr>
    </w:lvl>
    <w:lvl w:ilvl="4" w:tplc="04180003" w:tentative="1">
      <w:start w:val="1"/>
      <w:numFmt w:val="bullet"/>
      <w:lvlText w:val="o"/>
      <w:lvlJc w:val="left"/>
      <w:pPr>
        <w:ind w:left="4140" w:hanging="360"/>
      </w:pPr>
      <w:rPr>
        <w:rFonts w:ascii="Courier New" w:hAnsi="Courier New" w:cs="Courier New" w:hint="default"/>
      </w:rPr>
    </w:lvl>
    <w:lvl w:ilvl="5" w:tplc="04180005" w:tentative="1">
      <w:start w:val="1"/>
      <w:numFmt w:val="bullet"/>
      <w:lvlText w:val=""/>
      <w:lvlJc w:val="left"/>
      <w:pPr>
        <w:ind w:left="4860" w:hanging="360"/>
      </w:pPr>
      <w:rPr>
        <w:rFonts w:ascii="Wingdings" w:hAnsi="Wingdings" w:hint="default"/>
      </w:rPr>
    </w:lvl>
    <w:lvl w:ilvl="6" w:tplc="04180001" w:tentative="1">
      <w:start w:val="1"/>
      <w:numFmt w:val="bullet"/>
      <w:lvlText w:val=""/>
      <w:lvlJc w:val="left"/>
      <w:pPr>
        <w:ind w:left="5580" w:hanging="360"/>
      </w:pPr>
      <w:rPr>
        <w:rFonts w:ascii="Symbol" w:hAnsi="Symbol" w:hint="default"/>
      </w:rPr>
    </w:lvl>
    <w:lvl w:ilvl="7" w:tplc="04180003" w:tentative="1">
      <w:start w:val="1"/>
      <w:numFmt w:val="bullet"/>
      <w:lvlText w:val="o"/>
      <w:lvlJc w:val="left"/>
      <w:pPr>
        <w:ind w:left="6300" w:hanging="360"/>
      </w:pPr>
      <w:rPr>
        <w:rFonts w:ascii="Courier New" w:hAnsi="Courier New" w:cs="Courier New" w:hint="default"/>
      </w:rPr>
    </w:lvl>
    <w:lvl w:ilvl="8" w:tplc="04180005" w:tentative="1">
      <w:start w:val="1"/>
      <w:numFmt w:val="bullet"/>
      <w:lvlText w:val=""/>
      <w:lvlJc w:val="left"/>
      <w:pPr>
        <w:ind w:left="7020" w:hanging="360"/>
      </w:pPr>
      <w:rPr>
        <w:rFonts w:ascii="Wingdings" w:hAnsi="Wingdings" w:hint="default"/>
      </w:rPr>
    </w:lvl>
  </w:abstractNum>
  <w:num w:numId="1" w16cid:durableId="1041712117">
    <w:abstractNumId w:val="3"/>
  </w:num>
  <w:num w:numId="2" w16cid:durableId="2062627998">
    <w:abstractNumId w:val="9"/>
  </w:num>
  <w:num w:numId="3" w16cid:durableId="571475926">
    <w:abstractNumId w:val="6"/>
  </w:num>
  <w:num w:numId="4" w16cid:durableId="510342067">
    <w:abstractNumId w:val="7"/>
  </w:num>
  <w:num w:numId="5" w16cid:durableId="822358123">
    <w:abstractNumId w:val="4"/>
  </w:num>
  <w:num w:numId="6" w16cid:durableId="1954432912">
    <w:abstractNumId w:val="8"/>
  </w:num>
  <w:num w:numId="7" w16cid:durableId="287395943">
    <w:abstractNumId w:val="2"/>
  </w:num>
  <w:num w:numId="8" w16cid:durableId="759107535">
    <w:abstractNumId w:val="5"/>
  </w:num>
  <w:num w:numId="9" w16cid:durableId="1879511505">
    <w:abstractNumId w:val="1"/>
  </w:num>
  <w:num w:numId="10" w16cid:durableId="6280513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7155"/>
    <w:rsid w:val="000020A8"/>
    <w:rsid w:val="000028B3"/>
    <w:rsid w:val="00002EC1"/>
    <w:rsid w:val="00007A05"/>
    <w:rsid w:val="00010178"/>
    <w:rsid w:val="00011FFC"/>
    <w:rsid w:val="00012A0D"/>
    <w:rsid w:val="000135DF"/>
    <w:rsid w:val="00014D4D"/>
    <w:rsid w:val="000174BE"/>
    <w:rsid w:val="00017E8D"/>
    <w:rsid w:val="000200AF"/>
    <w:rsid w:val="00024C2C"/>
    <w:rsid w:val="00025A9D"/>
    <w:rsid w:val="00026262"/>
    <w:rsid w:val="00030C05"/>
    <w:rsid w:val="00033D08"/>
    <w:rsid w:val="000351FE"/>
    <w:rsid w:val="00036662"/>
    <w:rsid w:val="0003722F"/>
    <w:rsid w:val="0004021B"/>
    <w:rsid w:val="0004152C"/>
    <w:rsid w:val="000421CF"/>
    <w:rsid w:val="00042BA7"/>
    <w:rsid w:val="00043177"/>
    <w:rsid w:val="00045810"/>
    <w:rsid w:val="000507C6"/>
    <w:rsid w:val="0005127E"/>
    <w:rsid w:val="00052E26"/>
    <w:rsid w:val="0005385D"/>
    <w:rsid w:val="000624C2"/>
    <w:rsid w:val="000649D7"/>
    <w:rsid w:val="00067C86"/>
    <w:rsid w:val="00070B9C"/>
    <w:rsid w:val="00070F02"/>
    <w:rsid w:val="000745F8"/>
    <w:rsid w:val="00074DF9"/>
    <w:rsid w:val="00075B58"/>
    <w:rsid w:val="000801B6"/>
    <w:rsid w:val="000805EF"/>
    <w:rsid w:val="00081D00"/>
    <w:rsid w:val="0008280E"/>
    <w:rsid w:val="0008387F"/>
    <w:rsid w:val="0008442F"/>
    <w:rsid w:val="00090CF5"/>
    <w:rsid w:val="00092818"/>
    <w:rsid w:val="000936D2"/>
    <w:rsid w:val="00097FEB"/>
    <w:rsid w:val="000A0D37"/>
    <w:rsid w:val="000A1512"/>
    <w:rsid w:val="000A261F"/>
    <w:rsid w:val="000A776A"/>
    <w:rsid w:val="000B3E49"/>
    <w:rsid w:val="000B4DB9"/>
    <w:rsid w:val="000C0DE8"/>
    <w:rsid w:val="000C21C2"/>
    <w:rsid w:val="000C2F32"/>
    <w:rsid w:val="000C2FA0"/>
    <w:rsid w:val="000C6267"/>
    <w:rsid w:val="000C787E"/>
    <w:rsid w:val="000E19B8"/>
    <w:rsid w:val="000E3DD4"/>
    <w:rsid w:val="000E69B6"/>
    <w:rsid w:val="000E6DE4"/>
    <w:rsid w:val="000F0778"/>
    <w:rsid w:val="000F0D0B"/>
    <w:rsid w:val="000F21FF"/>
    <w:rsid w:val="0010128F"/>
    <w:rsid w:val="00101F20"/>
    <w:rsid w:val="00102E87"/>
    <w:rsid w:val="00106F7E"/>
    <w:rsid w:val="00110911"/>
    <w:rsid w:val="00112884"/>
    <w:rsid w:val="001143E9"/>
    <w:rsid w:val="00115722"/>
    <w:rsid w:val="00116930"/>
    <w:rsid w:val="0011761D"/>
    <w:rsid w:val="001201ED"/>
    <w:rsid w:val="00131388"/>
    <w:rsid w:val="00141B14"/>
    <w:rsid w:val="00144480"/>
    <w:rsid w:val="001448BB"/>
    <w:rsid w:val="00145454"/>
    <w:rsid w:val="001459BC"/>
    <w:rsid w:val="001461EE"/>
    <w:rsid w:val="00147C2F"/>
    <w:rsid w:val="00150648"/>
    <w:rsid w:val="001514B8"/>
    <w:rsid w:val="001526BF"/>
    <w:rsid w:val="001609EC"/>
    <w:rsid w:val="00163A2B"/>
    <w:rsid w:val="00167AD6"/>
    <w:rsid w:val="00167DDE"/>
    <w:rsid w:val="001706A0"/>
    <w:rsid w:val="00171992"/>
    <w:rsid w:val="00172339"/>
    <w:rsid w:val="00176BAF"/>
    <w:rsid w:val="00177127"/>
    <w:rsid w:val="00177D76"/>
    <w:rsid w:val="00184241"/>
    <w:rsid w:val="00185A4A"/>
    <w:rsid w:val="001867E7"/>
    <w:rsid w:val="001929CD"/>
    <w:rsid w:val="00196563"/>
    <w:rsid w:val="0019661C"/>
    <w:rsid w:val="001A0C95"/>
    <w:rsid w:val="001A2D3E"/>
    <w:rsid w:val="001B0A12"/>
    <w:rsid w:val="001B220B"/>
    <w:rsid w:val="001C02B6"/>
    <w:rsid w:val="001C32D7"/>
    <w:rsid w:val="001D1FCA"/>
    <w:rsid w:val="001D2605"/>
    <w:rsid w:val="001D33BD"/>
    <w:rsid w:val="001D40BC"/>
    <w:rsid w:val="001E058A"/>
    <w:rsid w:val="001E33E4"/>
    <w:rsid w:val="001E5829"/>
    <w:rsid w:val="001E7C13"/>
    <w:rsid w:val="001F0D70"/>
    <w:rsid w:val="001F4606"/>
    <w:rsid w:val="001F78D4"/>
    <w:rsid w:val="00201B74"/>
    <w:rsid w:val="00212173"/>
    <w:rsid w:val="0021405E"/>
    <w:rsid w:val="0021673C"/>
    <w:rsid w:val="00216F34"/>
    <w:rsid w:val="00217052"/>
    <w:rsid w:val="0022162E"/>
    <w:rsid w:val="002235D1"/>
    <w:rsid w:val="0022586C"/>
    <w:rsid w:val="00230018"/>
    <w:rsid w:val="00232704"/>
    <w:rsid w:val="00235834"/>
    <w:rsid w:val="002360B7"/>
    <w:rsid w:val="0023627B"/>
    <w:rsid w:val="00237EAA"/>
    <w:rsid w:val="00240342"/>
    <w:rsid w:val="002446A7"/>
    <w:rsid w:val="002509B5"/>
    <w:rsid w:val="00253946"/>
    <w:rsid w:val="002544A3"/>
    <w:rsid w:val="00263EDF"/>
    <w:rsid w:val="00263FD4"/>
    <w:rsid w:val="0026457C"/>
    <w:rsid w:val="00265A05"/>
    <w:rsid w:val="00267CDB"/>
    <w:rsid w:val="00272504"/>
    <w:rsid w:val="002732EB"/>
    <w:rsid w:val="00281124"/>
    <w:rsid w:val="00283B47"/>
    <w:rsid w:val="002874AF"/>
    <w:rsid w:val="00291783"/>
    <w:rsid w:val="002922E8"/>
    <w:rsid w:val="00293D16"/>
    <w:rsid w:val="00293E9E"/>
    <w:rsid w:val="002A42AA"/>
    <w:rsid w:val="002A4C46"/>
    <w:rsid w:val="002A5F8F"/>
    <w:rsid w:val="002A6B4C"/>
    <w:rsid w:val="002B02A1"/>
    <w:rsid w:val="002B0EC1"/>
    <w:rsid w:val="002B0F5C"/>
    <w:rsid w:val="002B3ADD"/>
    <w:rsid w:val="002B4530"/>
    <w:rsid w:val="002B49F2"/>
    <w:rsid w:val="002B6DBC"/>
    <w:rsid w:val="002B7585"/>
    <w:rsid w:val="002C05B5"/>
    <w:rsid w:val="002C0740"/>
    <w:rsid w:val="002C7BC8"/>
    <w:rsid w:val="002D20C3"/>
    <w:rsid w:val="002D5A47"/>
    <w:rsid w:val="002E2D1E"/>
    <w:rsid w:val="002E4DAB"/>
    <w:rsid w:val="002F6286"/>
    <w:rsid w:val="00306948"/>
    <w:rsid w:val="00306993"/>
    <w:rsid w:val="00306F39"/>
    <w:rsid w:val="003127B4"/>
    <w:rsid w:val="00314CA9"/>
    <w:rsid w:val="00315425"/>
    <w:rsid w:val="00315DED"/>
    <w:rsid w:val="00317610"/>
    <w:rsid w:val="00325C24"/>
    <w:rsid w:val="003264B3"/>
    <w:rsid w:val="0032660B"/>
    <w:rsid w:val="003275A9"/>
    <w:rsid w:val="00327ED2"/>
    <w:rsid w:val="003322FF"/>
    <w:rsid w:val="00333D68"/>
    <w:rsid w:val="00334C33"/>
    <w:rsid w:val="0033544A"/>
    <w:rsid w:val="0033623C"/>
    <w:rsid w:val="00342254"/>
    <w:rsid w:val="00344204"/>
    <w:rsid w:val="003450B1"/>
    <w:rsid w:val="00355974"/>
    <w:rsid w:val="00355E0B"/>
    <w:rsid w:val="0035667C"/>
    <w:rsid w:val="00356B7D"/>
    <w:rsid w:val="00357D1C"/>
    <w:rsid w:val="00362B01"/>
    <w:rsid w:val="003647AE"/>
    <w:rsid w:val="00367A2F"/>
    <w:rsid w:val="0037007D"/>
    <w:rsid w:val="003721C1"/>
    <w:rsid w:val="00373C71"/>
    <w:rsid w:val="00375895"/>
    <w:rsid w:val="0037675A"/>
    <w:rsid w:val="003830DA"/>
    <w:rsid w:val="00385520"/>
    <w:rsid w:val="00390192"/>
    <w:rsid w:val="00397683"/>
    <w:rsid w:val="0039771B"/>
    <w:rsid w:val="00397A58"/>
    <w:rsid w:val="00397E5F"/>
    <w:rsid w:val="003A1694"/>
    <w:rsid w:val="003A7097"/>
    <w:rsid w:val="003A7655"/>
    <w:rsid w:val="003B0834"/>
    <w:rsid w:val="003B0CDB"/>
    <w:rsid w:val="003B260E"/>
    <w:rsid w:val="003B2CA6"/>
    <w:rsid w:val="003B424E"/>
    <w:rsid w:val="003C0926"/>
    <w:rsid w:val="003C107F"/>
    <w:rsid w:val="003C3D16"/>
    <w:rsid w:val="003C5265"/>
    <w:rsid w:val="003C600B"/>
    <w:rsid w:val="003D07A0"/>
    <w:rsid w:val="003D18DE"/>
    <w:rsid w:val="003D2818"/>
    <w:rsid w:val="003D7155"/>
    <w:rsid w:val="003E17EB"/>
    <w:rsid w:val="003E1E74"/>
    <w:rsid w:val="003E58A1"/>
    <w:rsid w:val="003F2F52"/>
    <w:rsid w:val="003F6427"/>
    <w:rsid w:val="003F7F41"/>
    <w:rsid w:val="00401109"/>
    <w:rsid w:val="004011A0"/>
    <w:rsid w:val="00401F44"/>
    <w:rsid w:val="00403492"/>
    <w:rsid w:val="004055E5"/>
    <w:rsid w:val="00407E24"/>
    <w:rsid w:val="004125D8"/>
    <w:rsid w:val="00414B29"/>
    <w:rsid w:val="00414C4B"/>
    <w:rsid w:val="004165C1"/>
    <w:rsid w:val="00417004"/>
    <w:rsid w:val="00420490"/>
    <w:rsid w:val="00421480"/>
    <w:rsid w:val="004233BA"/>
    <w:rsid w:val="00424C93"/>
    <w:rsid w:val="00427194"/>
    <w:rsid w:val="00430F59"/>
    <w:rsid w:val="00434882"/>
    <w:rsid w:val="004410CE"/>
    <w:rsid w:val="00443331"/>
    <w:rsid w:val="00443824"/>
    <w:rsid w:val="00443A2B"/>
    <w:rsid w:val="00445C8B"/>
    <w:rsid w:val="0044763A"/>
    <w:rsid w:val="00452858"/>
    <w:rsid w:val="004540CD"/>
    <w:rsid w:val="004542D4"/>
    <w:rsid w:val="00454C48"/>
    <w:rsid w:val="00455114"/>
    <w:rsid w:val="00455395"/>
    <w:rsid w:val="00456473"/>
    <w:rsid w:val="00460086"/>
    <w:rsid w:val="00461898"/>
    <w:rsid w:val="00461EEA"/>
    <w:rsid w:val="004624E5"/>
    <w:rsid w:val="004628E8"/>
    <w:rsid w:val="004655D6"/>
    <w:rsid w:val="004678AA"/>
    <w:rsid w:val="00472089"/>
    <w:rsid w:val="00472BBB"/>
    <w:rsid w:val="00473397"/>
    <w:rsid w:val="00474BAE"/>
    <w:rsid w:val="00476436"/>
    <w:rsid w:val="004818B3"/>
    <w:rsid w:val="004821C4"/>
    <w:rsid w:val="004837ED"/>
    <w:rsid w:val="004870AD"/>
    <w:rsid w:val="004926C2"/>
    <w:rsid w:val="00494E33"/>
    <w:rsid w:val="00495BF9"/>
    <w:rsid w:val="004A31C2"/>
    <w:rsid w:val="004B1B0A"/>
    <w:rsid w:val="004B299C"/>
    <w:rsid w:val="004B38A2"/>
    <w:rsid w:val="004B44E6"/>
    <w:rsid w:val="004B4A5B"/>
    <w:rsid w:val="004B5988"/>
    <w:rsid w:val="004B71AD"/>
    <w:rsid w:val="004C0CE8"/>
    <w:rsid w:val="004C1685"/>
    <w:rsid w:val="004D0C11"/>
    <w:rsid w:val="004D3861"/>
    <w:rsid w:val="004D44DB"/>
    <w:rsid w:val="004D61AF"/>
    <w:rsid w:val="004E0262"/>
    <w:rsid w:val="004E1E0D"/>
    <w:rsid w:val="004E364B"/>
    <w:rsid w:val="004E533A"/>
    <w:rsid w:val="004E7C4A"/>
    <w:rsid w:val="004F568A"/>
    <w:rsid w:val="004F767F"/>
    <w:rsid w:val="004F7EA5"/>
    <w:rsid w:val="00505058"/>
    <w:rsid w:val="0050652D"/>
    <w:rsid w:val="0051325C"/>
    <w:rsid w:val="00516EAF"/>
    <w:rsid w:val="00520301"/>
    <w:rsid w:val="00520F02"/>
    <w:rsid w:val="00524C07"/>
    <w:rsid w:val="00527D1D"/>
    <w:rsid w:val="005304AC"/>
    <w:rsid w:val="00531361"/>
    <w:rsid w:val="00533B1F"/>
    <w:rsid w:val="005343EA"/>
    <w:rsid w:val="00536E61"/>
    <w:rsid w:val="0054039E"/>
    <w:rsid w:val="00544A7C"/>
    <w:rsid w:val="0054541D"/>
    <w:rsid w:val="005533C1"/>
    <w:rsid w:val="00553ABE"/>
    <w:rsid w:val="005564B1"/>
    <w:rsid w:val="00562F5C"/>
    <w:rsid w:val="00563078"/>
    <w:rsid w:val="00565B79"/>
    <w:rsid w:val="00566E3E"/>
    <w:rsid w:val="00567E10"/>
    <w:rsid w:val="005702F9"/>
    <w:rsid w:val="00572EFC"/>
    <w:rsid w:val="005808B9"/>
    <w:rsid w:val="00584878"/>
    <w:rsid w:val="00592049"/>
    <w:rsid w:val="00594592"/>
    <w:rsid w:val="005962CE"/>
    <w:rsid w:val="005A007F"/>
    <w:rsid w:val="005A312A"/>
    <w:rsid w:val="005A3763"/>
    <w:rsid w:val="005A67A6"/>
    <w:rsid w:val="005A78A1"/>
    <w:rsid w:val="005A7C07"/>
    <w:rsid w:val="005B094D"/>
    <w:rsid w:val="005B2C7F"/>
    <w:rsid w:val="005C1A1F"/>
    <w:rsid w:val="005C21A5"/>
    <w:rsid w:val="005D0A9E"/>
    <w:rsid w:val="005D1FE0"/>
    <w:rsid w:val="005D24B5"/>
    <w:rsid w:val="005D51AA"/>
    <w:rsid w:val="005D75AD"/>
    <w:rsid w:val="005E1681"/>
    <w:rsid w:val="005E2451"/>
    <w:rsid w:val="005E5F1F"/>
    <w:rsid w:val="005E726C"/>
    <w:rsid w:val="005F0F33"/>
    <w:rsid w:val="005F4581"/>
    <w:rsid w:val="005F45D8"/>
    <w:rsid w:val="005F56A8"/>
    <w:rsid w:val="005F60D2"/>
    <w:rsid w:val="005F63D4"/>
    <w:rsid w:val="005F78C0"/>
    <w:rsid w:val="006007F5"/>
    <w:rsid w:val="0060693C"/>
    <w:rsid w:val="00611DEB"/>
    <w:rsid w:val="00613108"/>
    <w:rsid w:val="006134FF"/>
    <w:rsid w:val="00613A87"/>
    <w:rsid w:val="00616111"/>
    <w:rsid w:val="00616DFD"/>
    <w:rsid w:val="00620329"/>
    <w:rsid w:val="00627600"/>
    <w:rsid w:val="00630BC3"/>
    <w:rsid w:val="00630BF9"/>
    <w:rsid w:val="0063197A"/>
    <w:rsid w:val="00634135"/>
    <w:rsid w:val="00634C25"/>
    <w:rsid w:val="006358ED"/>
    <w:rsid w:val="006403E4"/>
    <w:rsid w:val="006419D3"/>
    <w:rsid w:val="0065488B"/>
    <w:rsid w:val="00655A39"/>
    <w:rsid w:val="0066246D"/>
    <w:rsid w:val="00665D73"/>
    <w:rsid w:val="00665E33"/>
    <w:rsid w:val="00667875"/>
    <w:rsid w:val="00670835"/>
    <w:rsid w:val="00673585"/>
    <w:rsid w:val="00677D60"/>
    <w:rsid w:val="00681939"/>
    <w:rsid w:val="0068269B"/>
    <w:rsid w:val="00682BEC"/>
    <w:rsid w:val="00683A49"/>
    <w:rsid w:val="00684776"/>
    <w:rsid w:val="00687910"/>
    <w:rsid w:val="00687D0A"/>
    <w:rsid w:val="006923B6"/>
    <w:rsid w:val="00693B79"/>
    <w:rsid w:val="0069418E"/>
    <w:rsid w:val="0069786B"/>
    <w:rsid w:val="006979BC"/>
    <w:rsid w:val="006A03C6"/>
    <w:rsid w:val="006A1FFD"/>
    <w:rsid w:val="006A3230"/>
    <w:rsid w:val="006A550F"/>
    <w:rsid w:val="006A5C11"/>
    <w:rsid w:val="006B0202"/>
    <w:rsid w:val="006B1B6D"/>
    <w:rsid w:val="006B38E1"/>
    <w:rsid w:val="006B57BA"/>
    <w:rsid w:val="006C0C8D"/>
    <w:rsid w:val="006C228D"/>
    <w:rsid w:val="006C2818"/>
    <w:rsid w:val="006C4665"/>
    <w:rsid w:val="006C5625"/>
    <w:rsid w:val="006D0893"/>
    <w:rsid w:val="006D10DF"/>
    <w:rsid w:val="006D5784"/>
    <w:rsid w:val="006D78F4"/>
    <w:rsid w:val="006E2ABB"/>
    <w:rsid w:val="006E771A"/>
    <w:rsid w:val="006F1859"/>
    <w:rsid w:val="006F1E9F"/>
    <w:rsid w:val="006F211A"/>
    <w:rsid w:val="006F6D1E"/>
    <w:rsid w:val="007047C9"/>
    <w:rsid w:val="00704DE7"/>
    <w:rsid w:val="00705075"/>
    <w:rsid w:val="00707248"/>
    <w:rsid w:val="00711E4B"/>
    <w:rsid w:val="00713718"/>
    <w:rsid w:val="00715567"/>
    <w:rsid w:val="007165B5"/>
    <w:rsid w:val="00722D59"/>
    <w:rsid w:val="00724653"/>
    <w:rsid w:val="00732523"/>
    <w:rsid w:val="00733E5A"/>
    <w:rsid w:val="00740D6C"/>
    <w:rsid w:val="00743FC4"/>
    <w:rsid w:val="007449AE"/>
    <w:rsid w:val="00745F5E"/>
    <w:rsid w:val="007519E4"/>
    <w:rsid w:val="00751EE4"/>
    <w:rsid w:val="007520F9"/>
    <w:rsid w:val="0075216E"/>
    <w:rsid w:val="00756A99"/>
    <w:rsid w:val="00756C63"/>
    <w:rsid w:val="00760065"/>
    <w:rsid w:val="00761EAC"/>
    <w:rsid w:val="00762338"/>
    <w:rsid w:val="00764D38"/>
    <w:rsid w:val="00767C67"/>
    <w:rsid w:val="00767CB6"/>
    <w:rsid w:val="00770A90"/>
    <w:rsid w:val="007732D9"/>
    <w:rsid w:val="00773FEA"/>
    <w:rsid w:val="007758D7"/>
    <w:rsid w:val="00776000"/>
    <w:rsid w:val="00776164"/>
    <w:rsid w:val="007812EB"/>
    <w:rsid w:val="00791994"/>
    <w:rsid w:val="00792145"/>
    <w:rsid w:val="007923C4"/>
    <w:rsid w:val="007946C0"/>
    <w:rsid w:val="007A2308"/>
    <w:rsid w:val="007A411E"/>
    <w:rsid w:val="007A6B6E"/>
    <w:rsid w:val="007B0A6E"/>
    <w:rsid w:val="007B0D43"/>
    <w:rsid w:val="007C1D17"/>
    <w:rsid w:val="007C627D"/>
    <w:rsid w:val="007C7683"/>
    <w:rsid w:val="007D4DA9"/>
    <w:rsid w:val="007D4E15"/>
    <w:rsid w:val="007D53FE"/>
    <w:rsid w:val="007D6450"/>
    <w:rsid w:val="007E0104"/>
    <w:rsid w:val="007E0CC0"/>
    <w:rsid w:val="007E3DB6"/>
    <w:rsid w:val="007E5EB4"/>
    <w:rsid w:val="007E7FFA"/>
    <w:rsid w:val="007F209B"/>
    <w:rsid w:val="007F3FC2"/>
    <w:rsid w:val="007F4B2B"/>
    <w:rsid w:val="007F66CA"/>
    <w:rsid w:val="007F737E"/>
    <w:rsid w:val="00805B05"/>
    <w:rsid w:val="00811406"/>
    <w:rsid w:val="00813C36"/>
    <w:rsid w:val="00814F13"/>
    <w:rsid w:val="0081683B"/>
    <w:rsid w:val="0082169C"/>
    <w:rsid w:val="00822945"/>
    <w:rsid w:val="008259D3"/>
    <w:rsid w:val="008264FF"/>
    <w:rsid w:val="00826504"/>
    <w:rsid w:val="008312A5"/>
    <w:rsid w:val="008314F5"/>
    <w:rsid w:val="008323D6"/>
    <w:rsid w:val="00832B91"/>
    <w:rsid w:val="00836966"/>
    <w:rsid w:val="00837CA2"/>
    <w:rsid w:val="00841E70"/>
    <w:rsid w:val="008449FC"/>
    <w:rsid w:val="008453F5"/>
    <w:rsid w:val="008469EE"/>
    <w:rsid w:val="008510AC"/>
    <w:rsid w:val="008515F7"/>
    <w:rsid w:val="008520D7"/>
    <w:rsid w:val="00855478"/>
    <w:rsid w:val="00857222"/>
    <w:rsid w:val="008579A9"/>
    <w:rsid w:val="00866468"/>
    <w:rsid w:val="008704E7"/>
    <w:rsid w:val="008708A8"/>
    <w:rsid w:val="008709EF"/>
    <w:rsid w:val="00871B31"/>
    <w:rsid w:val="008803B7"/>
    <w:rsid w:val="0088048B"/>
    <w:rsid w:val="00883DA6"/>
    <w:rsid w:val="00885D3F"/>
    <w:rsid w:val="0088608D"/>
    <w:rsid w:val="00887BB8"/>
    <w:rsid w:val="00890767"/>
    <w:rsid w:val="008969F1"/>
    <w:rsid w:val="008A2AD9"/>
    <w:rsid w:val="008B3334"/>
    <w:rsid w:val="008B5093"/>
    <w:rsid w:val="008B6AF9"/>
    <w:rsid w:val="008B7C90"/>
    <w:rsid w:val="008C1107"/>
    <w:rsid w:val="008C18F1"/>
    <w:rsid w:val="008C2967"/>
    <w:rsid w:val="008C2FFF"/>
    <w:rsid w:val="008C6ED5"/>
    <w:rsid w:val="008D3E2D"/>
    <w:rsid w:val="008D4396"/>
    <w:rsid w:val="008D593A"/>
    <w:rsid w:val="008D5D80"/>
    <w:rsid w:val="008E1CF5"/>
    <w:rsid w:val="008E2862"/>
    <w:rsid w:val="008E4E0C"/>
    <w:rsid w:val="008F0D19"/>
    <w:rsid w:val="008F0E88"/>
    <w:rsid w:val="008F4A44"/>
    <w:rsid w:val="008F7703"/>
    <w:rsid w:val="008F7E6B"/>
    <w:rsid w:val="009023B8"/>
    <w:rsid w:val="00905F72"/>
    <w:rsid w:val="009078BB"/>
    <w:rsid w:val="00917B68"/>
    <w:rsid w:val="0092580D"/>
    <w:rsid w:val="0093152E"/>
    <w:rsid w:val="00935767"/>
    <w:rsid w:val="00937DCF"/>
    <w:rsid w:val="00943DA5"/>
    <w:rsid w:val="00944916"/>
    <w:rsid w:val="00945F3B"/>
    <w:rsid w:val="009479F1"/>
    <w:rsid w:val="0096082F"/>
    <w:rsid w:val="00960A5C"/>
    <w:rsid w:val="00962847"/>
    <w:rsid w:val="00966B71"/>
    <w:rsid w:val="0097202E"/>
    <w:rsid w:val="00972A62"/>
    <w:rsid w:val="0097542A"/>
    <w:rsid w:val="0097640B"/>
    <w:rsid w:val="009821FC"/>
    <w:rsid w:val="00982786"/>
    <w:rsid w:val="00984E3B"/>
    <w:rsid w:val="00985CF2"/>
    <w:rsid w:val="00992C15"/>
    <w:rsid w:val="00996452"/>
    <w:rsid w:val="009A0F35"/>
    <w:rsid w:val="009A37B4"/>
    <w:rsid w:val="009A677D"/>
    <w:rsid w:val="009B674C"/>
    <w:rsid w:val="009C2B28"/>
    <w:rsid w:val="009C368D"/>
    <w:rsid w:val="009C4C96"/>
    <w:rsid w:val="009C733E"/>
    <w:rsid w:val="009D0DC1"/>
    <w:rsid w:val="009E4C21"/>
    <w:rsid w:val="009E6336"/>
    <w:rsid w:val="009F7190"/>
    <w:rsid w:val="009F7A94"/>
    <w:rsid w:val="00A02C1D"/>
    <w:rsid w:val="00A075D5"/>
    <w:rsid w:val="00A1464F"/>
    <w:rsid w:val="00A20676"/>
    <w:rsid w:val="00A21D1E"/>
    <w:rsid w:val="00A2579E"/>
    <w:rsid w:val="00A25E54"/>
    <w:rsid w:val="00A3080F"/>
    <w:rsid w:val="00A31179"/>
    <w:rsid w:val="00A32B3F"/>
    <w:rsid w:val="00A331B1"/>
    <w:rsid w:val="00A3349D"/>
    <w:rsid w:val="00A4254E"/>
    <w:rsid w:val="00A45225"/>
    <w:rsid w:val="00A456B6"/>
    <w:rsid w:val="00A5498D"/>
    <w:rsid w:val="00A61571"/>
    <w:rsid w:val="00A65A0A"/>
    <w:rsid w:val="00A70887"/>
    <w:rsid w:val="00A75AB3"/>
    <w:rsid w:val="00A82469"/>
    <w:rsid w:val="00A9146E"/>
    <w:rsid w:val="00A9272B"/>
    <w:rsid w:val="00A93C0D"/>
    <w:rsid w:val="00A97F34"/>
    <w:rsid w:val="00AA1BC9"/>
    <w:rsid w:val="00AA5C7C"/>
    <w:rsid w:val="00AA754F"/>
    <w:rsid w:val="00AA7602"/>
    <w:rsid w:val="00AB2BBD"/>
    <w:rsid w:val="00AB497C"/>
    <w:rsid w:val="00AB5311"/>
    <w:rsid w:val="00AB54FE"/>
    <w:rsid w:val="00AB593F"/>
    <w:rsid w:val="00AB5F08"/>
    <w:rsid w:val="00AC46D9"/>
    <w:rsid w:val="00AC54A1"/>
    <w:rsid w:val="00AC6F66"/>
    <w:rsid w:val="00AC7D20"/>
    <w:rsid w:val="00AD113F"/>
    <w:rsid w:val="00AD2A4E"/>
    <w:rsid w:val="00AD3EE2"/>
    <w:rsid w:val="00AD776C"/>
    <w:rsid w:val="00AE15D9"/>
    <w:rsid w:val="00AE5EC1"/>
    <w:rsid w:val="00AE6F9B"/>
    <w:rsid w:val="00AF07D5"/>
    <w:rsid w:val="00AF3E86"/>
    <w:rsid w:val="00AF750B"/>
    <w:rsid w:val="00B135F0"/>
    <w:rsid w:val="00B13B9E"/>
    <w:rsid w:val="00B15A79"/>
    <w:rsid w:val="00B1648F"/>
    <w:rsid w:val="00B20EBE"/>
    <w:rsid w:val="00B2415B"/>
    <w:rsid w:val="00B2463A"/>
    <w:rsid w:val="00B32AB7"/>
    <w:rsid w:val="00B34166"/>
    <w:rsid w:val="00B3420E"/>
    <w:rsid w:val="00B35F7E"/>
    <w:rsid w:val="00B3614A"/>
    <w:rsid w:val="00B40029"/>
    <w:rsid w:val="00B44482"/>
    <w:rsid w:val="00B44CB6"/>
    <w:rsid w:val="00B5008E"/>
    <w:rsid w:val="00B514D4"/>
    <w:rsid w:val="00B51BFB"/>
    <w:rsid w:val="00B522F1"/>
    <w:rsid w:val="00B52CF0"/>
    <w:rsid w:val="00B53B23"/>
    <w:rsid w:val="00B542C9"/>
    <w:rsid w:val="00B636A0"/>
    <w:rsid w:val="00B667D8"/>
    <w:rsid w:val="00B70E53"/>
    <w:rsid w:val="00B73997"/>
    <w:rsid w:val="00B740D1"/>
    <w:rsid w:val="00B75DB7"/>
    <w:rsid w:val="00B833A0"/>
    <w:rsid w:val="00B87077"/>
    <w:rsid w:val="00B9133C"/>
    <w:rsid w:val="00BA1D07"/>
    <w:rsid w:val="00BA45E2"/>
    <w:rsid w:val="00BA5724"/>
    <w:rsid w:val="00BB4A46"/>
    <w:rsid w:val="00BB5B4F"/>
    <w:rsid w:val="00BB62DC"/>
    <w:rsid w:val="00BB7E7A"/>
    <w:rsid w:val="00BC08A1"/>
    <w:rsid w:val="00BC16A0"/>
    <w:rsid w:val="00BC1BF7"/>
    <w:rsid w:val="00BC2304"/>
    <w:rsid w:val="00BC6AC6"/>
    <w:rsid w:val="00BC7DD2"/>
    <w:rsid w:val="00BD32D8"/>
    <w:rsid w:val="00BD667E"/>
    <w:rsid w:val="00BE0B73"/>
    <w:rsid w:val="00BE2350"/>
    <w:rsid w:val="00BE4EBA"/>
    <w:rsid w:val="00BE53C3"/>
    <w:rsid w:val="00BF7676"/>
    <w:rsid w:val="00C03E36"/>
    <w:rsid w:val="00C07A38"/>
    <w:rsid w:val="00C10847"/>
    <w:rsid w:val="00C131E0"/>
    <w:rsid w:val="00C2020B"/>
    <w:rsid w:val="00C2372B"/>
    <w:rsid w:val="00C25770"/>
    <w:rsid w:val="00C26E1A"/>
    <w:rsid w:val="00C334CF"/>
    <w:rsid w:val="00C353E6"/>
    <w:rsid w:val="00C40149"/>
    <w:rsid w:val="00C40DEC"/>
    <w:rsid w:val="00C44B29"/>
    <w:rsid w:val="00C54A00"/>
    <w:rsid w:val="00C54C81"/>
    <w:rsid w:val="00C55109"/>
    <w:rsid w:val="00C6213B"/>
    <w:rsid w:val="00C62CE1"/>
    <w:rsid w:val="00C672E2"/>
    <w:rsid w:val="00C7009E"/>
    <w:rsid w:val="00C733FC"/>
    <w:rsid w:val="00C75B80"/>
    <w:rsid w:val="00C76C16"/>
    <w:rsid w:val="00C773E4"/>
    <w:rsid w:val="00C80088"/>
    <w:rsid w:val="00C81B1D"/>
    <w:rsid w:val="00C81F47"/>
    <w:rsid w:val="00C83569"/>
    <w:rsid w:val="00C90DA0"/>
    <w:rsid w:val="00C90DEB"/>
    <w:rsid w:val="00C91954"/>
    <w:rsid w:val="00C946E1"/>
    <w:rsid w:val="00CA2E55"/>
    <w:rsid w:val="00CA430C"/>
    <w:rsid w:val="00CB5B3E"/>
    <w:rsid w:val="00CB772C"/>
    <w:rsid w:val="00CB7AA0"/>
    <w:rsid w:val="00CC11F0"/>
    <w:rsid w:val="00CC1E45"/>
    <w:rsid w:val="00CC22F4"/>
    <w:rsid w:val="00CC35B7"/>
    <w:rsid w:val="00CC3E1F"/>
    <w:rsid w:val="00CC3F0C"/>
    <w:rsid w:val="00CC5205"/>
    <w:rsid w:val="00CD0CBF"/>
    <w:rsid w:val="00CD2826"/>
    <w:rsid w:val="00CD747C"/>
    <w:rsid w:val="00CE1FCD"/>
    <w:rsid w:val="00CE52D8"/>
    <w:rsid w:val="00CF3B14"/>
    <w:rsid w:val="00CF5C24"/>
    <w:rsid w:val="00CF7A62"/>
    <w:rsid w:val="00D01BA2"/>
    <w:rsid w:val="00D0371C"/>
    <w:rsid w:val="00D16361"/>
    <w:rsid w:val="00D16563"/>
    <w:rsid w:val="00D1659F"/>
    <w:rsid w:val="00D16733"/>
    <w:rsid w:val="00D17B00"/>
    <w:rsid w:val="00D2051A"/>
    <w:rsid w:val="00D20728"/>
    <w:rsid w:val="00D21FEA"/>
    <w:rsid w:val="00D22E58"/>
    <w:rsid w:val="00D24699"/>
    <w:rsid w:val="00D26749"/>
    <w:rsid w:val="00D312D3"/>
    <w:rsid w:val="00D31602"/>
    <w:rsid w:val="00D33F06"/>
    <w:rsid w:val="00D34C8C"/>
    <w:rsid w:val="00D3751E"/>
    <w:rsid w:val="00D4099F"/>
    <w:rsid w:val="00D457CD"/>
    <w:rsid w:val="00D469EB"/>
    <w:rsid w:val="00D52544"/>
    <w:rsid w:val="00D53D93"/>
    <w:rsid w:val="00D564AD"/>
    <w:rsid w:val="00D5652E"/>
    <w:rsid w:val="00D60BB8"/>
    <w:rsid w:val="00D67230"/>
    <w:rsid w:val="00D81F33"/>
    <w:rsid w:val="00D92084"/>
    <w:rsid w:val="00D925AA"/>
    <w:rsid w:val="00DA622B"/>
    <w:rsid w:val="00DB0518"/>
    <w:rsid w:val="00DB1011"/>
    <w:rsid w:val="00DB14E3"/>
    <w:rsid w:val="00DB1CC7"/>
    <w:rsid w:val="00DB5250"/>
    <w:rsid w:val="00DB7610"/>
    <w:rsid w:val="00DC454A"/>
    <w:rsid w:val="00DC49F1"/>
    <w:rsid w:val="00DC5768"/>
    <w:rsid w:val="00DC6D59"/>
    <w:rsid w:val="00DC7467"/>
    <w:rsid w:val="00DC7BF0"/>
    <w:rsid w:val="00DD0751"/>
    <w:rsid w:val="00DD2A4D"/>
    <w:rsid w:val="00DD2DA3"/>
    <w:rsid w:val="00DE2E52"/>
    <w:rsid w:val="00DE340D"/>
    <w:rsid w:val="00DE4D1B"/>
    <w:rsid w:val="00DF47E0"/>
    <w:rsid w:val="00DF75B8"/>
    <w:rsid w:val="00E03B51"/>
    <w:rsid w:val="00E0417E"/>
    <w:rsid w:val="00E04B75"/>
    <w:rsid w:val="00E051A5"/>
    <w:rsid w:val="00E053AF"/>
    <w:rsid w:val="00E12169"/>
    <w:rsid w:val="00E20C9F"/>
    <w:rsid w:val="00E20CE1"/>
    <w:rsid w:val="00E22079"/>
    <w:rsid w:val="00E23CCC"/>
    <w:rsid w:val="00E26D19"/>
    <w:rsid w:val="00E276AB"/>
    <w:rsid w:val="00E307AA"/>
    <w:rsid w:val="00E3136C"/>
    <w:rsid w:val="00E317F8"/>
    <w:rsid w:val="00E3244E"/>
    <w:rsid w:val="00E32678"/>
    <w:rsid w:val="00E3403C"/>
    <w:rsid w:val="00E34EF4"/>
    <w:rsid w:val="00E35C62"/>
    <w:rsid w:val="00E37DD6"/>
    <w:rsid w:val="00E42986"/>
    <w:rsid w:val="00E43F4E"/>
    <w:rsid w:val="00E45795"/>
    <w:rsid w:val="00E461BA"/>
    <w:rsid w:val="00E47379"/>
    <w:rsid w:val="00E50A4A"/>
    <w:rsid w:val="00E5324B"/>
    <w:rsid w:val="00E60D36"/>
    <w:rsid w:val="00E624A0"/>
    <w:rsid w:val="00E62577"/>
    <w:rsid w:val="00E63133"/>
    <w:rsid w:val="00E72AC1"/>
    <w:rsid w:val="00E74235"/>
    <w:rsid w:val="00E75B04"/>
    <w:rsid w:val="00E77309"/>
    <w:rsid w:val="00E81AB4"/>
    <w:rsid w:val="00E865DA"/>
    <w:rsid w:val="00E91236"/>
    <w:rsid w:val="00EA1433"/>
    <w:rsid w:val="00EA4CB9"/>
    <w:rsid w:val="00EA638E"/>
    <w:rsid w:val="00EB018A"/>
    <w:rsid w:val="00EB182E"/>
    <w:rsid w:val="00EB48BC"/>
    <w:rsid w:val="00EB4F24"/>
    <w:rsid w:val="00EB79A7"/>
    <w:rsid w:val="00EC05F0"/>
    <w:rsid w:val="00EC06C9"/>
    <w:rsid w:val="00EC1477"/>
    <w:rsid w:val="00EC18DB"/>
    <w:rsid w:val="00EC30F6"/>
    <w:rsid w:val="00EC3D03"/>
    <w:rsid w:val="00EC4452"/>
    <w:rsid w:val="00EC6E7E"/>
    <w:rsid w:val="00ED1C8B"/>
    <w:rsid w:val="00ED3368"/>
    <w:rsid w:val="00ED437D"/>
    <w:rsid w:val="00ED4D81"/>
    <w:rsid w:val="00ED649C"/>
    <w:rsid w:val="00EE388D"/>
    <w:rsid w:val="00EF2DC4"/>
    <w:rsid w:val="00EF49D4"/>
    <w:rsid w:val="00F02CE8"/>
    <w:rsid w:val="00F11A64"/>
    <w:rsid w:val="00F147FC"/>
    <w:rsid w:val="00F1756D"/>
    <w:rsid w:val="00F22906"/>
    <w:rsid w:val="00F30840"/>
    <w:rsid w:val="00F31F3B"/>
    <w:rsid w:val="00F353CD"/>
    <w:rsid w:val="00F401D4"/>
    <w:rsid w:val="00F4241B"/>
    <w:rsid w:val="00F4282B"/>
    <w:rsid w:val="00F4316C"/>
    <w:rsid w:val="00F433A8"/>
    <w:rsid w:val="00F439B8"/>
    <w:rsid w:val="00F4477D"/>
    <w:rsid w:val="00F45866"/>
    <w:rsid w:val="00F45DA0"/>
    <w:rsid w:val="00F45DC9"/>
    <w:rsid w:val="00F52829"/>
    <w:rsid w:val="00F53596"/>
    <w:rsid w:val="00F543F9"/>
    <w:rsid w:val="00F572D8"/>
    <w:rsid w:val="00F57AD9"/>
    <w:rsid w:val="00F63B4A"/>
    <w:rsid w:val="00F64031"/>
    <w:rsid w:val="00F649CB"/>
    <w:rsid w:val="00F6726C"/>
    <w:rsid w:val="00F67B5E"/>
    <w:rsid w:val="00F67D4A"/>
    <w:rsid w:val="00F709C3"/>
    <w:rsid w:val="00F70ACD"/>
    <w:rsid w:val="00F80C52"/>
    <w:rsid w:val="00F80FBF"/>
    <w:rsid w:val="00F81BBE"/>
    <w:rsid w:val="00F8653A"/>
    <w:rsid w:val="00F906DE"/>
    <w:rsid w:val="00FA17A0"/>
    <w:rsid w:val="00FB36D5"/>
    <w:rsid w:val="00FB3A55"/>
    <w:rsid w:val="00FB4D8D"/>
    <w:rsid w:val="00FB4E1B"/>
    <w:rsid w:val="00FB4EBD"/>
    <w:rsid w:val="00FB5AFE"/>
    <w:rsid w:val="00FB5B6E"/>
    <w:rsid w:val="00FB6CA7"/>
    <w:rsid w:val="00FC2201"/>
    <w:rsid w:val="00FC43CA"/>
    <w:rsid w:val="00FC4612"/>
    <w:rsid w:val="00FD0915"/>
    <w:rsid w:val="00FD0C51"/>
    <w:rsid w:val="00FD1DD1"/>
    <w:rsid w:val="00FD2B8B"/>
    <w:rsid w:val="00FD3865"/>
    <w:rsid w:val="00FD6E9F"/>
    <w:rsid w:val="00FE0591"/>
    <w:rsid w:val="00FE0E6D"/>
    <w:rsid w:val="00FE2B36"/>
    <w:rsid w:val="00FE2E96"/>
    <w:rsid w:val="00FE32B3"/>
    <w:rsid w:val="00FE39DF"/>
    <w:rsid w:val="00FE6834"/>
    <w:rsid w:val="00FF4F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E3E9DB"/>
  <w15:docId w15:val="{3523C558-7FAB-43FD-9734-A98A7CDC6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D7155"/>
    <w:rPr>
      <w:rFonts w:ascii="Arial" w:hAnsi="Arial"/>
      <w:sz w:val="24"/>
    </w:rPr>
  </w:style>
  <w:style w:type="paragraph" w:styleId="Heading1">
    <w:name w:val="heading 1"/>
    <w:basedOn w:val="Normal"/>
    <w:next w:val="Normal"/>
    <w:qFormat/>
    <w:rsid w:val="001B220B"/>
    <w:pPr>
      <w:keepNext/>
      <w:spacing w:line="360" w:lineRule="auto"/>
      <w:jc w:val="both"/>
      <w:outlineLvl w:val="0"/>
    </w:pPr>
    <w:rPr>
      <w:rFonts w:cs="Arial"/>
      <w:b/>
      <w:bCs/>
      <w:sz w:val="20"/>
      <w:szCs w:val="24"/>
    </w:rPr>
  </w:style>
  <w:style w:type="paragraph" w:styleId="Heading2">
    <w:name w:val="heading 2"/>
    <w:basedOn w:val="Normal"/>
    <w:next w:val="Normal"/>
    <w:qFormat/>
    <w:rsid w:val="001B220B"/>
    <w:pPr>
      <w:keepNext/>
      <w:outlineLvl w:val="1"/>
    </w:pPr>
    <w:rPr>
      <w:rFonts w:cs="Arial"/>
      <w:b/>
      <w:sz w:val="22"/>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D7155"/>
    <w:pPr>
      <w:tabs>
        <w:tab w:val="center" w:pos="4320"/>
        <w:tab w:val="right" w:pos="8640"/>
      </w:tabs>
    </w:pPr>
    <w:rPr>
      <w:rFonts w:ascii="Times New Roman" w:hAnsi="Times New Roman"/>
      <w:lang w:val="ro-RO"/>
    </w:rPr>
  </w:style>
  <w:style w:type="character" w:styleId="Hyperlink">
    <w:name w:val="Hyperlink"/>
    <w:basedOn w:val="DefaultParagraphFont"/>
    <w:rsid w:val="003D7155"/>
    <w:rPr>
      <w:color w:val="0000FF"/>
      <w:u w:val="single"/>
    </w:rPr>
  </w:style>
  <w:style w:type="paragraph" w:customStyle="1" w:styleId="Char">
    <w:name w:val="Char"/>
    <w:basedOn w:val="Normal"/>
    <w:rsid w:val="00102E87"/>
    <w:pPr>
      <w:spacing w:after="160" w:line="240" w:lineRule="exact"/>
    </w:pPr>
    <w:rPr>
      <w:rFonts w:ascii="Tahoma" w:hAnsi="Tahoma"/>
      <w:sz w:val="20"/>
      <w:lang w:val="en-GB"/>
    </w:rPr>
  </w:style>
  <w:style w:type="table" w:styleId="TableGrid">
    <w:name w:val="Table Grid"/>
    <w:basedOn w:val="TableNormal"/>
    <w:rsid w:val="00611D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611DEB"/>
    <w:pPr>
      <w:tabs>
        <w:tab w:val="center" w:pos="4320"/>
        <w:tab w:val="right" w:pos="8640"/>
      </w:tabs>
    </w:pPr>
  </w:style>
  <w:style w:type="character" w:styleId="PageNumber">
    <w:name w:val="page number"/>
    <w:basedOn w:val="DefaultParagraphFont"/>
    <w:rsid w:val="00611DEB"/>
  </w:style>
  <w:style w:type="paragraph" w:customStyle="1" w:styleId="CharCharCharCaracterCaracterCharCharCaracterCaracterCharCharCharCharCharChar">
    <w:name w:val="Char Char Char Caracter Caracter Char Char Caracter Caracter Char Char Char Char Char Char"/>
    <w:basedOn w:val="Normal"/>
    <w:rsid w:val="0019661C"/>
    <w:pPr>
      <w:spacing w:after="160" w:line="240" w:lineRule="exact"/>
    </w:pPr>
    <w:rPr>
      <w:rFonts w:ascii="Tahoma" w:hAnsi="Tahoma"/>
      <w:sz w:val="20"/>
      <w:lang w:val="en-GB"/>
    </w:rPr>
  </w:style>
  <w:style w:type="character" w:styleId="Emphasis">
    <w:name w:val="Emphasis"/>
    <w:uiPriority w:val="20"/>
    <w:qFormat/>
    <w:rsid w:val="001B220B"/>
    <w:rPr>
      <w:rFonts w:ascii="Arial" w:hAnsi="Arial" w:cs="Arial"/>
      <w:b/>
      <w:bCs w:val="0"/>
      <w:i w:val="0"/>
      <w:iCs w:val="0"/>
      <w:spacing w:val="-10"/>
      <w:sz w:val="18"/>
    </w:rPr>
  </w:style>
  <w:style w:type="paragraph" w:customStyle="1" w:styleId="Checkboxes">
    <w:name w:val="Checkboxes"/>
    <w:basedOn w:val="Normal"/>
    <w:rsid w:val="001B220B"/>
    <w:pPr>
      <w:spacing w:before="360" w:after="360"/>
    </w:pPr>
    <w:rPr>
      <w:rFonts w:ascii="Times New Roman" w:hAnsi="Times New Roman"/>
      <w:sz w:val="20"/>
    </w:rPr>
  </w:style>
  <w:style w:type="character" w:customStyle="1" w:styleId="MessageHeaderLabel">
    <w:name w:val="Message Header Label"/>
    <w:rsid w:val="001B220B"/>
    <w:rPr>
      <w:rFonts w:ascii="Arial" w:hAnsi="Arial" w:cs="Arial"/>
      <w:b/>
      <w:bCs w:val="0"/>
      <w:spacing w:val="-4"/>
      <w:sz w:val="18"/>
    </w:rPr>
  </w:style>
  <w:style w:type="paragraph" w:customStyle="1" w:styleId="CaracterCaracter">
    <w:name w:val="Caracter Caracter"/>
    <w:basedOn w:val="Normal"/>
    <w:rsid w:val="00B75DB7"/>
    <w:pPr>
      <w:spacing w:after="160" w:line="240" w:lineRule="exact"/>
    </w:pPr>
    <w:rPr>
      <w:rFonts w:ascii="Tahoma" w:hAnsi="Tahoma"/>
      <w:sz w:val="20"/>
      <w:lang w:val="en-GB"/>
    </w:rPr>
  </w:style>
  <w:style w:type="paragraph" w:styleId="BalloonText">
    <w:name w:val="Balloon Text"/>
    <w:basedOn w:val="Normal"/>
    <w:link w:val="BalloonTextChar"/>
    <w:rsid w:val="00982786"/>
    <w:rPr>
      <w:rFonts w:ascii="Tahoma" w:hAnsi="Tahoma" w:cs="Tahoma"/>
      <w:sz w:val="16"/>
      <w:szCs w:val="16"/>
    </w:rPr>
  </w:style>
  <w:style w:type="character" w:customStyle="1" w:styleId="BalloonTextChar">
    <w:name w:val="Balloon Text Char"/>
    <w:basedOn w:val="DefaultParagraphFont"/>
    <w:link w:val="BalloonText"/>
    <w:rsid w:val="00982786"/>
    <w:rPr>
      <w:rFonts w:ascii="Tahoma" w:hAnsi="Tahoma" w:cs="Tahoma"/>
      <w:sz w:val="16"/>
      <w:szCs w:val="16"/>
    </w:rPr>
  </w:style>
  <w:style w:type="paragraph" w:styleId="BodyText3">
    <w:name w:val="Body Text 3"/>
    <w:basedOn w:val="Normal"/>
    <w:link w:val="BodyText3Char"/>
    <w:unhideWhenUsed/>
    <w:rsid w:val="009821FC"/>
    <w:pPr>
      <w:spacing w:after="120"/>
    </w:pPr>
    <w:rPr>
      <w:rFonts w:ascii="Times New Roman" w:hAnsi="Times New Roman"/>
      <w:sz w:val="16"/>
      <w:szCs w:val="16"/>
      <w:lang w:val="ro-RO"/>
    </w:rPr>
  </w:style>
  <w:style w:type="character" w:customStyle="1" w:styleId="BodyText3Char">
    <w:name w:val="Body Text 3 Char"/>
    <w:basedOn w:val="DefaultParagraphFont"/>
    <w:link w:val="BodyText3"/>
    <w:rsid w:val="009821FC"/>
    <w:rPr>
      <w:sz w:val="16"/>
      <w:szCs w:val="16"/>
      <w:lang w:val="ro-RO"/>
    </w:rPr>
  </w:style>
  <w:style w:type="paragraph" w:styleId="ListParagraph">
    <w:name w:val="List Paragraph"/>
    <w:aliases w:val="body 2,Cablenet,Normal bullet 2,Akapit z listą BS,Outlines a.b.c.,List_Paragraph,Multilevel para_II,Akapit z lista BS"/>
    <w:basedOn w:val="Normal"/>
    <w:link w:val="ListParagraphChar"/>
    <w:uiPriority w:val="34"/>
    <w:qFormat/>
    <w:rsid w:val="00630BF9"/>
    <w:pPr>
      <w:ind w:left="720"/>
      <w:contextualSpacing/>
    </w:pPr>
  </w:style>
  <w:style w:type="character" w:customStyle="1" w:styleId="ListParagraphChar">
    <w:name w:val="List Paragraph Char"/>
    <w:aliases w:val="body 2 Char,Cablenet Char,Normal bullet 2 Char,Akapit z listą BS Char,Outlines a.b.c. Char,List_Paragraph Char,Multilevel para_II Char,Akapit z lista BS Char"/>
    <w:basedOn w:val="DefaultParagraphFont"/>
    <w:link w:val="ListParagraph"/>
    <w:uiPriority w:val="34"/>
    <w:locked/>
    <w:rsid w:val="00935767"/>
    <w:rPr>
      <w:rFonts w:ascii="Arial" w:hAnsi="Arial"/>
      <w:sz w:val="24"/>
    </w:rPr>
  </w:style>
  <w:style w:type="paragraph" w:styleId="BodyText">
    <w:name w:val="Body Text"/>
    <w:basedOn w:val="Normal"/>
    <w:link w:val="BodyTextChar"/>
    <w:rsid w:val="008B6AF9"/>
    <w:pPr>
      <w:spacing w:after="120"/>
    </w:pPr>
  </w:style>
  <w:style w:type="character" w:customStyle="1" w:styleId="BodyTextChar">
    <w:name w:val="Body Text Char"/>
    <w:basedOn w:val="DefaultParagraphFont"/>
    <w:link w:val="BodyText"/>
    <w:rsid w:val="008B6AF9"/>
    <w:rPr>
      <w:rFonts w:ascii="Arial" w:hAnsi="Arial"/>
      <w:sz w:val="24"/>
    </w:rPr>
  </w:style>
  <w:style w:type="character" w:customStyle="1" w:styleId="HeaderChar">
    <w:name w:val="Header Char"/>
    <w:basedOn w:val="DefaultParagraphFont"/>
    <w:link w:val="Header"/>
    <w:uiPriority w:val="99"/>
    <w:rsid w:val="00DE340D"/>
    <w:rPr>
      <w:sz w:val="24"/>
      <w:lang w:val="ro-RO"/>
    </w:rPr>
  </w:style>
  <w:style w:type="character" w:styleId="UnresolvedMention">
    <w:name w:val="Unresolved Mention"/>
    <w:basedOn w:val="DefaultParagraphFont"/>
    <w:uiPriority w:val="99"/>
    <w:semiHidden/>
    <w:unhideWhenUsed/>
    <w:rsid w:val="00DE340D"/>
    <w:rPr>
      <w:color w:val="605E5C"/>
      <w:shd w:val="clear" w:color="auto" w:fill="E1DFDD"/>
    </w:rPr>
  </w:style>
  <w:style w:type="paragraph" w:customStyle="1" w:styleId="Default">
    <w:name w:val="Default"/>
    <w:rsid w:val="00BD667E"/>
    <w:pPr>
      <w:autoSpaceDE w:val="0"/>
      <w:autoSpaceDN w:val="0"/>
      <w:adjustRightInd w:val="0"/>
    </w:pPr>
    <w:rPr>
      <w:rFonts w:ascii="Trebuchet MS" w:eastAsiaTheme="minorHAnsi" w:hAnsi="Trebuchet MS" w:cs="Trebuchet MS"/>
      <w:color w:val="000000"/>
      <w:sz w:val="24"/>
      <w:szCs w:val="24"/>
      <w:lang w:val="ro-RO"/>
    </w:rPr>
  </w:style>
  <w:style w:type="paragraph" w:customStyle="1" w:styleId="al">
    <w:name w:val="a_l"/>
    <w:basedOn w:val="Normal"/>
    <w:rsid w:val="00BE2350"/>
    <w:pPr>
      <w:jc w:val="both"/>
    </w:pPr>
    <w:rPr>
      <w:rFonts w:ascii="Times New Roman" w:eastAsiaTheme="minorEastAsia" w:hAnsi="Times New Roman"/>
      <w:szCs w:val="24"/>
      <w14:ligatures w14:val="standardContextual"/>
    </w:rPr>
  </w:style>
  <w:style w:type="character" w:customStyle="1" w:styleId="Bodytext2">
    <w:name w:val="Body text (2)_"/>
    <w:basedOn w:val="DefaultParagraphFont"/>
    <w:link w:val="Bodytext20"/>
    <w:rsid w:val="00D3751E"/>
    <w:rPr>
      <w:sz w:val="22"/>
      <w:szCs w:val="22"/>
      <w:shd w:val="clear" w:color="auto" w:fill="FFFFFF"/>
    </w:rPr>
  </w:style>
  <w:style w:type="character" w:customStyle="1" w:styleId="Bodytext2Spacing1pt">
    <w:name w:val="Body text (2) + Spacing 1 pt"/>
    <w:basedOn w:val="Bodytext2"/>
    <w:rsid w:val="00D3751E"/>
    <w:rPr>
      <w:color w:val="000000"/>
      <w:spacing w:val="30"/>
      <w:w w:val="100"/>
      <w:position w:val="0"/>
      <w:sz w:val="22"/>
      <w:szCs w:val="22"/>
      <w:shd w:val="clear" w:color="auto" w:fill="FFFFFF"/>
      <w:lang w:val="ro-RO" w:eastAsia="ro-RO" w:bidi="ro-RO"/>
    </w:rPr>
  </w:style>
  <w:style w:type="character" w:customStyle="1" w:styleId="Bodytext2Italic">
    <w:name w:val="Body text (2) + Italic"/>
    <w:basedOn w:val="Bodytext2"/>
    <w:rsid w:val="00D3751E"/>
    <w:rPr>
      <w:i/>
      <w:iCs/>
      <w:color w:val="000000"/>
      <w:spacing w:val="0"/>
      <w:w w:val="100"/>
      <w:position w:val="0"/>
      <w:sz w:val="22"/>
      <w:szCs w:val="22"/>
      <w:shd w:val="clear" w:color="auto" w:fill="FFFFFF"/>
      <w:lang w:val="ro-RO" w:eastAsia="ro-RO" w:bidi="ro-RO"/>
    </w:rPr>
  </w:style>
  <w:style w:type="paragraph" w:customStyle="1" w:styleId="Bodytext20">
    <w:name w:val="Body text (2)"/>
    <w:basedOn w:val="Normal"/>
    <w:link w:val="Bodytext2"/>
    <w:rsid w:val="00D3751E"/>
    <w:pPr>
      <w:widowControl w:val="0"/>
      <w:shd w:val="clear" w:color="auto" w:fill="FFFFFF"/>
      <w:spacing w:line="288" w:lineRule="exact"/>
      <w:ind w:hanging="260"/>
      <w:jc w:val="center"/>
    </w:pPr>
    <w:rPr>
      <w:rFonts w:ascii="Times New Roman" w:hAnsi="Times New Roman"/>
      <w:sz w:val="22"/>
      <w:szCs w:val="22"/>
    </w:rPr>
  </w:style>
  <w:style w:type="character" w:customStyle="1" w:styleId="FooterChar">
    <w:name w:val="Footer Char"/>
    <w:basedOn w:val="DefaultParagraphFont"/>
    <w:link w:val="Footer"/>
    <w:uiPriority w:val="99"/>
    <w:rsid w:val="00D3751E"/>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684144">
      <w:bodyDiv w:val="1"/>
      <w:marLeft w:val="0"/>
      <w:marRight w:val="0"/>
      <w:marTop w:val="0"/>
      <w:marBottom w:val="0"/>
      <w:divBdr>
        <w:top w:val="none" w:sz="0" w:space="0" w:color="auto"/>
        <w:left w:val="none" w:sz="0" w:space="0" w:color="auto"/>
        <w:bottom w:val="none" w:sz="0" w:space="0" w:color="auto"/>
        <w:right w:val="none" w:sz="0" w:space="0" w:color="auto"/>
      </w:divBdr>
    </w:div>
    <w:div w:id="1688871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67A056-6F53-4D69-B33E-0959F52DE9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26</Pages>
  <Words>11394</Words>
  <Characters>64947</Characters>
  <Application>Microsoft Office Word</Application>
  <DocSecurity>0</DocSecurity>
  <Lines>541</Lines>
  <Paragraphs>152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76189</CharactersWithSpaces>
  <SharedDoc>false</SharedDoc>
  <HLinks>
    <vt:vector size="6" baseType="variant">
      <vt:variant>
        <vt:i4>6422607</vt:i4>
      </vt:variant>
      <vt:variant>
        <vt:i4>0</vt:i4>
      </vt:variant>
      <vt:variant>
        <vt:i4>0</vt:i4>
      </vt:variant>
      <vt:variant>
        <vt:i4>5</vt:i4>
      </vt:variant>
      <vt:variant>
        <vt:lpwstr>mailto:office@adrmuntenia.ro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NICOLETA TOPIRCEANU</cp:lastModifiedBy>
  <cp:revision>6</cp:revision>
  <cp:lastPrinted>2024-05-21T07:45:00Z</cp:lastPrinted>
  <dcterms:created xsi:type="dcterms:W3CDTF">2025-04-22T14:32:00Z</dcterms:created>
  <dcterms:modified xsi:type="dcterms:W3CDTF">2025-06-19T14:25:00Z</dcterms:modified>
</cp:coreProperties>
</file>